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DD" w:rsidRDefault="00157EDD" w:rsidP="00157EDD">
      <w:pPr>
        <w:spacing w:before="18"/>
        <w:ind w:left="100"/>
        <w:rPr>
          <w:b/>
          <w:sz w:val="32"/>
        </w:rPr>
      </w:pPr>
      <w:r>
        <w:rPr>
          <w:b/>
          <w:sz w:val="32"/>
          <w:u w:val="thick"/>
        </w:rPr>
        <w:t>Health and Safety Management in Queen Mary</w:t>
      </w:r>
    </w:p>
    <w:p w:rsidR="00157EDD" w:rsidRDefault="00157EDD" w:rsidP="00157EDD">
      <w:pPr>
        <w:spacing w:before="194"/>
        <w:ind w:left="100"/>
        <w:rPr>
          <w:b/>
          <w:sz w:val="28"/>
        </w:rPr>
      </w:pPr>
      <w:r>
        <w:rPr>
          <w:b/>
          <w:sz w:val="28"/>
        </w:rPr>
        <w:t>SBCS Health and Safety Management Policy Statement</w:t>
      </w:r>
    </w:p>
    <w:p w:rsidR="00157EDD" w:rsidRDefault="00157EDD" w:rsidP="00157EDD">
      <w:pPr>
        <w:spacing w:before="184" w:line="259" w:lineRule="auto"/>
        <w:ind w:left="100" w:right="289"/>
        <w:jc w:val="both"/>
        <w:rPr>
          <w:sz w:val="24"/>
        </w:rPr>
      </w:pPr>
      <w:r>
        <w:rPr>
          <w:sz w:val="24"/>
        </w:rPr>
        <w:t>The</w:t>
      </w:r>
      <w:r>
        <w:rPr>
          <w:spacing w:val="-14"/>
          <w:sz w:val="24"/>
        </w:rPr>
        <w:t xml:space="preserve"> </w:t>
      </w:r>
      <w:r>
        <w:rPr>
          <w:sz w:val="24"/>
        </w:rPr>
        <w:t>S</w:t>
      </w:r>
      <w:r w:rsidR="008E15E9">
        <w:rPr>
          <w:sz w:val="24"/>
        </w:rPr>
        <w:t xml:space="preserve">chool of </w:t>
      </w:r>
      <w:r>
        <w:rPr>
          <w:sz w:val="24"/>
        </w:rPr>
        <w:t>B</w:t>
      </w:r>
      <w:r w:rsidR="008E15E9">
        <w:rPr>
          <w:sz w:val="24"/>
        </w:rPr>
        <w:t xml:space="preserve">iological and </w:t>
      </w:r>
      <w:r>
        <w:rPr>
          <w:sz w:val="24"/>
        </w:rPr>
        <w:t>C</w:t>
      </w:r>
      <w:r w:rsidR="008E15E9">
        <w:rPr>
          <w:sz w:val="24"/>
        </w:rPr>
        <w:t>hemical Sciences</w:t>
      </w:r>
      <w:r>
        <w:rPr>
          <w:spacing w:val="-12"/>
          <w:sz w:val="24"/>
        </w:rPr>
        <w:t xml:space="preserve"> </w:t>
      </w:r>
      <w:r>
        <w:rPr>
          <w:sz w:val="24"/>
        </w:rPr>
        <w:t>regards</w:t>
      </w:r>
      <w:r>
        <w:rPr>
          <w:spacing w:val="-15"/>
          <w:sz w:val="24"/>
        </w:rPr>
        <w:t xml:space="preserve"> </w:t>
      </w:r>
      <w:r>
        <w:rPr>
          <w:sz w:val="24"/>
        </w:rPr>
        <w:t>the</w:t>
      </w:r>
      <w:r>
        <w:rPr>
          <w:spacing w:val="-16"/>
          <w:sz w:val="24"/>
        </w:rPr>
        <w:t xml:space="preserve"> </w:t>
      </w:r>
      <w:r>
        <w:rPr>
          <w:sz w:val="24"/>
        </w:rPr>
        <w:t>health,</w:t>
      </w:r>
      <w:r>
        <w:rPr>
          <w:spacing w:val="-14"/>
          <w:sz w:val="24"/>
        </w:rPr>
        <w:t xml:space="preserve"> </w:t>
      </w:r>
      <w:r>
        <w:rPr>
          <w:sz w:val="24"/>
        </w:rPr>
        <w:t>safety</w:t>
      </w:r>
      <w:r>
        <w:rPr>
          <w:spacing w:val="-14"/>
          <w:sz w:val="24"/>
        </w:rPr>
        <w:t xml:space="preserve"> </w:t>
      </w:r>
      <w:r>
        <w:rPr>
          <w:sz w:val="24"/>
        </w:rPr>
        <w:t>and</w:t>
      </w:r>
      <w:r>
        <w:rPr>
          <w:spacing w:val="-16"/>
          <w:sz w:val="24"/>
        </w:rPr>
        <w:t xml:space="preserve"> </w:t>
      </w:r>
      <w:r>
        <w:rPr>
          <w:sz w:val="24"/>
        </w:rPr>
        <w:t>welfare</w:t>
      </w:r>
      <w:r>
        <w:rPr>
          <w:spacing w:val="-13"/>
          <w:sz w:val="24"/>
        </w:rPr>
        <w:t xml:space="preserve"> </w:t>
      </w:r>
      <w:r>
        <w:rPr>
          <w:sz w:val="24"/>
        </w:rPr>
        <w:t>of</w:t>
      </w:r>
      <w:r>
        <w:rPr>
          <w:spacing w:val="-11"/>
          <w:sz w:val="24"/>
        </w:rPr>
        <w:t xml:space="preserve"> </w:t>
      </w:r>
      <w:r>
        <w:rPr>
          <w:sz w:val="24"/>
        </w:rPr>
        <w:t>its</w:t>
      </w:r>
      <w:r>
        <w:rPr>
          <w:spacing w:val="-15"/>
          <w:sz w:val="24"/>
        </w:rPr>
        <w:t xml:space="preserve"> </w:t>
      </w:r>
      <w:r>
        <w:rPr>
          <w:sz w:val="24"/>
        </w:rPr>
        <w:t>staff</w:t>
      </w:r>
      <w:r>
        <w:rPr>
          <w:spacing w:val="-15"/>
          <w:sz w:val="24"/>
        </w:rPr>
        <w:t xml:space="preserve"> </w:t>
      </w:r>
      <w:r>
        <w:rPr>
          <w:sz w:val="24"/>
        </w:rPr>
        <w:t>and</w:t>
      </w:r>
      <w:r>
        <w:rPr>
          <w:spacing w:val="-11"/>
          <w:sz w:val="24"/>
        </w:rPr>
        <w:t xml:space="preserve"> </w:t>
      </w:r>
      <w:r>
        <w:rPr>
          <w:sz w:val="24"/>
        </w:rPr>
        <w:t>students</w:t>
      </w:r>
      <w:r>
        <w:rPr>
          <w:spacing w:val="-14"/>
          <w:sz w:val="24"/>
        </w:rPr>
        <w:t xml:space="preserve"> </w:t>
      </w:r>
      <w:r>
        <w:rPr>
          <w:sz w:val="24"/>
        </w:rPr>
        <w:t>as</w:t>
      </w:r>
      <w:r>
        <w:rPr>
          <w:spacing w:val="-17"/>
          <w:sz w:val="24"/>
        </w:rPr>
        <w:t xml:space="preserve"> </w:t>
      </w:r>
      <w:r>
        <w:rPr>
          <w:sz w:val="24"/>
        </w:rPr>
        <w:t>of</w:t>
      </w:r>
      <w:r>
        <w:rPr>
          <w:spacing w:val="-13"/>
          <w:sz w:val="24"/>
        </w:rPr>
        <w:t xml:space="preserve"> </w:t>
      </w:r>
      <w:r>
        <w:rPr>
          <w:sz w:val="24"/>
        </w:rPr>
        <w:t xml:space="preserve">major importance and recognises the vital role that good health and safety practices have in the workplace. Health, Safety and Welfare is managed using the Queen Mary University of London's (QMUL) Health &amp; Safety Policy as a minimum standard and in accordance with the Health &amp; Safety at Work Act etc. 1974. </w:t>
      </w:r>
      <w:r w:rsidRPr="00157EDD">
        <w:rPr>
          <w:sz w:val="24"/>
        </w:rPr>
        <w:t>The School will make available resources of time and money as far as reasonably practicable</w:t>
      </w:r>
      <w:r>
        <w:rPr>
          <w:sz w:val="24"/>
        </w:rPr>
        <w:t>, in order to fully implement the QMUL Health and Safety policy. It will encourage and arrange for training and instruction of staff in health and</w:t>
      </w:r>
      <w:r>
        <w:rPr>
          <w:spacing w:val="-4"/>
          <w:sz w:val="24"/>
        </w:rPr>
        <w:t xml:space="preserve"> </w:t>
      </w:r>
      <w:r>
        <w:rPr>
          <w:sz w:val="24"/>
        </w:rPr>
        <w:t>safety</w:t>
      </w:r>
      <w:r>
        <w:rPr>
          <w:spacing w:val="-8"/>
          <w:sz w:val="24"/>
        </w:rPr>
        <w:t xml:space="preserve"> </w:t>
      </w:r>
      <w:r>
        <w:rPr>
          <w:sz w:val="24"/>
        </w:rPr>
        <w:t>matters</w:t>
      </w:r>
      <w:r>
        <w:rPr>
          <w:spacing w:val="-7"/>
          <w:sz w:val="24"/>
        </w:rPr>
        <w:t xml:space="preserve"> </w:t>
      </w:r>
      <w:r>
        <w:rPr>
          <w:sz w:val="24"/>
        </w:rPr>
        <w:t>in</w:t>
      </w:r>
      <w:r>
        <w:rPr>
          <w:spacing w:val="-6"/>
          <w:sz w:val="24"/>
        </w:rPr>
        <w:t xml:space="preserve"> </w:t>
      </w:r>
      <w:r>
        <w:rPr>
          <w:sz w:val="24"/>
        </w:rPr>
        <w:t>order</w:t>
      </w:r>
      <w:r>
        <w:rPr>
          <w:spacing w:val="-4"/>
          <w:sz w:val="24"/>
        </w:rPr>
        <w:t xml:space="preserve"> </w:t>
      </w:r>
      <w:r>
        <w:rPr>
          <w:sz w:val="24"/>
        </w:rPr>
        <w:t>to</w:t>
      </w:r>
      <w:r>
        <w:rPr>
          <w:spacing w:val="-7"/>
          <w:sz w:val="24"/>
        </w:rPr>
        <w:t xml:space="preserve"> </w:t>
      </w:r>
      <w:r>
        <w:rPr>
          <w:sz w:val="24"/>
        </w:rPr>
        <w:t>ensure</w:t>
      </w:r>
      <w:r>
        <w:rPr>
          <w:spacing w:val="-7"/>
          <w:sz w:val="24"/>
        </w:rPr>
        <w:t xml:space="preserve"> </w:t>
      </w:r>
      <w:r>
        <w:rPr>
          <w:sz w:val="24"/>
        </w:rPr>
        <w:t>that</w:t>
      </w:r>
      <w:r>
        <w:rPr>
          <w:spacing w:val="-3"/>
          <w:sz w:val="24"/>
        </w:rPr>
        <w:t xml:space="preserve"> </w:t>
      </w:r>
      <w:r>
        <w:rPr>
          <w:sz w:val="24"/>
        </w:rPr>
        <w:t>safe</w:t>
      </w:r>
      <w:r>
        <w:rPr>
          <w:spacing w:val="-4"/>
          <w:sz w:val="24"/>
        </w:rPr>
        <w:t xml:space="preserve"> </w:t>
      </w:r>
      <w:r>
        <w:rPr>
          <w:sz w:val="24"/>
        </w:rPr>
        <w:t>systems</w:t>
      </w:r>
      <w:r>
        <w:rPr>
          <w:spacing w:val="-7"/>
          <w:sz w:val="24"/>
        </w:rPr>
        <w:t xml:space="preserve"> </w:t>
      </w:r>
      <w:r>
        <w:rPr>
          <w:sz w:val="24"/>
        </w:rPr>
        <w:t>of</w:t>
      </w:r>
      <w:r>
        <w:rPr>
          <w:spacing w:val="-4"/>
          <w:sz w:val="24"/>
        </w:rPr>
        <w:t xml:space="preserve"> </w:t>
      </w:r>
      <w:r>
        <w:rPr>
          <w:sz w:val="24"/>
        </w:rPr>
        <w:t>work</w:t>
      </w:r>
      <w:r>
        <w:rPr>
          <w:spacing w:val="-6"/>
          <w:sz w:val="24"/>
        </w:rPr>
        <w:t xml:space="preserve"> </w:t>
      </w:r>
      <w:r>
        <w:rPr>
          <w:sz w:val="24"/>
        </w:rPr>
        <w:t>are</w:t>
      </w:r>
      <w:r>
        <w:rPr>
          <w:spacing w:val="-6"/>
          <w:sz w:val="24"/>
        </w:rPr>
        <w:t xml:space="preserve"> </w:t>
      </w:r>
      <w:r>
        <w:rPr>
          <w:sz w:val="24"/>
        </w:rPr>
        <w:t>practiced</w:t>
      </w:r>
      <w:r>
        <w:rPr>
          <w:spacing w:val="-3"/>
          <w:sz w:val="24"/>
        </w:rPr>
        <w:t xml:space="preserve"> </w:t>
      </w:r>
      <w:r>
        <w:rPr>
          <w:sz w:val="24"/>
        </w:rPr>
        <w:t>throughout</w:t>
      </w:r>
      <w:r>
        <w:rPr>
          <w:spacing w:val="-5"/>
          <w:sz w:val="24"/>
        </w:rPr>
        <w:t xml:space="preserve"> </w:t>
      </w:r>
      <w:r>
        <w:rPr>
          <w:sz w:val="24"/>
        </w:rPr>
        <w:t>the School.</w:t>
      </w:r>
    </w:p>
    <w:p w:rsidR="00157EDD" w:rsidRDefault="00157EDD" w:rsidP="00157EDD">
      <w:pPr>
        <w:spacing w:before="155"/>
        <w:ind w:left="100"/>
        <w:rPr>
          <w:b/>
          <w:sz w:val="24"/>
        </w:rPr>
      </w:pPr>
      <w:r>
        <w:rPr>
          <w:b/>
          <w:sz w:val="24"/>
        </w:rPr>
        <w:t>SBCS Arrangements for Health and Safety</w:t>
      </w:r>
    </w:p>
    <w:p w:rsidR="00157EDD" w:rsidRDefault="00157EDD" w:rsidP="00157EDD">
      <w:pPr>
        <w:spacing w:before="183" w:line="259" w:lineRule="auto"/>
        <w:ind w:left="100" w:right="289"/>
        <w:jc w:val="both"/>
        <w:rPr>
          <w:sz w:val="24"/>
        </w:rPr>
      </w:pPr>
      <w:r>
        <w:rPr>
          <w:sz w:val="24"/>
        </w:rPr>
        <w:t>The School</w:t>
      </w:r>
      <w:r w:rsidR="008E15E9">
        <w:rPr>
          <w:sz w:val="24"/>
        </w:rPr>
        <w:t xml:space="preserve"> is comprised of the G.E. Fogg and Joseph Priestly building. The School</w:t>
      </w:r>
      <w:r w:rsidR="00F96624">
        <w:rPr>
          <w:sz w:val="24"/>
        </w:rPr>
        <w:t xml:space="preserve"> will appoint </w:t>
      </w:r>
      <w:r>
        <w:rPr>
          <w:sz w:val="24"/>
        </w:rPr>
        <w:t>two ma</w:t>
      </w:r>
      <w:r w:rsidR="00F96624">
        <w:rPr>
          <w:sz w:val="24"/>
        </w:rPr>
        <w:t>in Safety Coordinators (one for Fogg/FBB and one for JP/FBB)</w:t>
      </w:r>
      <w:r>
        <w:rPr>
          <w:sz w:val="24"/>
        </w:rPr>
        <w:t xml:space="preserve">, who will advise and assist the Head of School </w:t>
      </w:r>
      <w:r w:rsidR="00AE0BD9">
        <w:rPr>
          <w:sz w:val="24"/>
        </w:rPr>
        <w:t>with H</w:t>
      </w:r>
      <w:r>
        <w:rPr>
          <w:sz w:val="24"/>
        </w:rPr>
        <w:t xml:space="preserve">ealth and </w:t>
      </w:r>
      <w:r w:rsidR="00AE0BD9">
        <w:rPr>
          <w:sz w:val="24"/>
        </w:rPr>
        <w:t>S</w:t>
      </w:r>
      <w:r>
        <w:rPr>
          <w:sz w:val="24"/>
        </w:rPr>
        <w:t>afety related issues in the School</w:t>
      </w:r>
      <w:r w:rsidR="00F96624">
        <w:rPr>
          <w:sz w:val="24"/>
        </w:rPr>
        <w:t xml:space="preserve">. </w:t>
      </w:r>
      <w:r w:rsidR="00F96624" w:rsidRPr="00F96624">
        <w:rPr>
          <w:sz w:val="24"/>
        </w:rPr>
        <w:t xml:space="preserve">They </w:t>
      </w:r>
      <w:r w:rsidRPr="00F96624">
        <w:rPr>
          <w:sz w:val="24"/>
        </w:rPr>
        <w:t>will have specific r</w:t>
      </w:r>
      <w:r w:rsidR="00AE0BD9">
        <w:rPr>
          <w:sz w:val="24"/>
        </w:rPr>
        <w:t>esponsibility for oversight of Health and S</w:t>
      </w:r>
      <w:r w:rsidRPr="00F96624">
        <w:rPr>
          <w:sz w:val="24"/>
        </w:rPr>
        <w:t>afety within office, laboratory and administrative areas</w:t>
      </w:r>
      <w:r w:rsidR="00F96624">
        <w:rPr>
          <w:sz w:val="24"/>
        </w:rPr>
        <w:t xml:space="preserve">. </w:t>
      </w:r>
      <w:r w:rsidRPr="00157EDD">
        <w:rPr>
          <w:sz w:val="24"/>
        </w:rPr>
        <w:t>The Sch</w:t>
      </w:r>
      <w:r>
        <w:rPr>
          <w:sz w:val="24"/>
        </w:rPr>
        <w:t>ool will also appoint specific Laboratory M</w:t>
      </w:r>
      <w:r w:rsidRPr="00157EDD">
        <w:rPr>
          <w:sz w:val="24"/>
        </w:rPr>
        <w:t xml:space="preserve">anagers who </w:t>
      </w:r>
      <w:r>
        <w:rPr>
          <w:sz w:val="24"/>
        </w:rPr>
        <w:t>will oversee Health and S</w:t>
      </w:r>
      <w:r w:rsidRPr="00157EDD">
        <w:rPr>
          <w:sz w:val="24"/>
        </w:rPr>
        <w:t>afety within their areas of re</w:t>
      </w:r>
      <w:r>
        <w:rPr>
          <w:sz w:val="24"/>
        </w:rPr>
        <w:t>spo</w:t>
      </w:r>
      <w:r w:rsidRPr="00157EDD">
        <w:rPr>
          <w:sz w:val="24"/>
        </w:rPr>
        <w:t>nsibility a</w:t>
      </w:r>
      <w:r>
        <w:rPr>
          <w:sz w:val="24"/>
        </w:rPr>
        <w:t>long with Fire Marshals, First Aiders and Radiation Supervisors as appropriate. The local Laboratory Managers will assist and ensure suitable and sufficient risk assessments are carried out and reviewed regularly by staff or line managers for all work activities involving</w:t>
      </w:r>
      <w:r w:rsidR="00F96624">
        <w:rPr>
          <w:sz w:val="24"/>
        </w:rPr>
        <w:t xml:space="preserve"> hazards. They will also ensure that all Health and S</w:t>
      </w:r>
      <w:r>
        <w:rPr>
          <w:sz w:val="24"/>
        </w:rPr>
        <w:t>afety related equipment within their area of responsibility is adequately</w:t>
      </w:r>
      <w:r>
        <w:rPr>
          <w:spacing w:val="-2"/>
          <w:sz w:val="24"/>
        </w:rPr>
        <w:t xml:space="preserve"> </w:t>
      </w:r>
      <w:r>
        <w:rPr>
          <w:sz w:val="24"/>
        </w:rPr>
        <w:t>maintained.</w:t>
      </w:r>
    </w:p>
    <w:p w:rsidR="00157EDD" w:rsidRDefault="00157EDD" w:rsidP="00157EDD">
      <w:pPr>
        <w:spacing w:before="157" w:line="259" w:lineRule="auto"/>
        <w:ind w:left="100" w:right="292"/>
        <w:jc w:val="both"/>
        <w:rPr>
          <w:sz w:val="24"/>
        </w:rPr>
      </w:pPr>
      <w:r>
        <w:rPr>
          <w:sz w:val="24"/>
        </w:rPr>
        <w:t>Health and Safety issues will be recorded at</w:t>
      </w:r>
      <w:r w:rsidR="0058157C">
        <w:rPr>
          <w:sz w:val="24"/>
        </w:rPr>
        <w:t xml:space="preserve"> both</w:t>
      </w:r>
      <w:r>
        <w:rPr>
          <w:sz w:val="24"/>
        </w:rPr>
        <w:t xml:space="preserve"> the SBCS </w:t>
      </w:r>
      <w:r w:rsidR="0058157C">
        <w:rPr>
          <w:sz w:val="24"/>
        </w:rPr>
        <w:t xml:space="preserve">and the Faculty Health and Safety committee </w:t>
      </w:r>
      <w:r>
        <w:rPr>
          <w:sz w:val="24"/>
        </w:rPr>
        <w:t>which will meet</w:t>
      </w:r>
      <w:r w:rsidR="003C4CD7">
        <w:rPr>
          <w:sz w:val="24"/>
        </w:rPr>
        <w:t xml:space="preserve"> three times per year. M</w:t>
      </w:r>
      <w:r w:rsidR="00AE0BD9">
        <w:rPr>
          <w:sz w:val="24"/>
        </w:rPr>
        <w:t>onthly local Health and S</w:t>
      </w:r>
      <w:r>
        <w:rPr>
          <w:sz w:val="24"/>
        </w:rPr>
        <w:t xml:space="preserve">afety inspections will </w:t>
      </w:r>
      <w:r w:rsidR="003C4CD7">
        <w:rPr>
          <w:sz w:val="24"/>
        </w:rPr>
        <w:t xml:space="preserve">also occur in the </w:t>
      </w:r>
      <w:r w:rsidRPr="0058157C">
        <w:rPr>
          <w:sz w:val="24"/>
        </w:rPr>
        <w:t>School</w:t>
      </w:r>
      <w:r w:rsidR="00803B8D">
        <w:rPr>
          <w:sz w:val="24"/>
        </w:rPr>
        <w:t xml:space="preserve"> laboratori</w:t>
      </w:r>
      <w:r w:rsidR="003C4CD7">
        <w:rPr>
          <w:sz w:val="24"/>
        </w:rPr>
        <w:t>es</w:t>
      </w:r>
      <w:r w:rsidRPr="0058157C">
        <w:rPr>
          <w:sz w:val="24"/>
        </w:rPr>
        <w:t xml:space="preserve"> along with regula</w:t>
      </w:r>
      <w:r w:rsidR="00AE0BD9" w:rsidRPr="0058157C">
        <w:rPr>
          <w:sz w:val="24"/>
        </w:rPr>
        <w:t>r monitoring checks. Mandatory Health and S</w:t>
      </w:r>
      <w:r w:rsidRPr="0058157C">
        <w:rPr>
          <w:sz w:val="24"/>
        </w:rPr>
        <w:t xml:space="preserve">afety inductions will </w:t>
      </w:r>
      <w:r>
        <w:rPr>
          <w:sz w:val="24"/>
        </w:rPr>
        <w:t>be provided for all new members of staff</w:t>
      </w:r>
      <w:r w:rsidR="00AE0BD9">
        <w:rPr>
          <w:sz w:val="24"/>
        </w:rPr>
        <w:t>/students, visitors and contractors. A</w:t>
      </w:r>
      <w:r>
        <w:rPr>
          <w:sz w:val="24"/>
        </w:rPr>
        <w:t>pprop</w:t>
      </w:r>
      <w:r w:rsidR="00AE0BD9">
        <w:rPr>
          <w:sz w:val="24"/>
        </w:rPr>
        <w:t>riate manuals and guidance for Health and S</w:t>
      </w:r>
      <w:r>
        <w:rPr>
          <w:sz w:val="24"/>
        </w:rPr>
        <w:t xml:space="preserve">afety </w:t>
      </w:r>
      <w:r w:rsidR="00AE0BD9">
        <w:rPr>
          <w:sz w:val="24"/>
        </w:rPr>
        <w:t xml:space="preserve">within the School </w:t>
      </w:r>
      <w:r>
        <w:rPr>
          <w:sz w:val="24"/>
        </w:rPr>
        <w:t xml:space="preserve">will be provided through </w:t>
      </w:r>
      <w:r w:rsidRPr="0058157C">
        <w:rPr>
          <w:sz w:val="24"/>
        </w:rPr>
        <w:t>the SBCS</w:t>
      </w:r>
      <w:r w:rsidR="00AE0BD9" w:rsidRPr="0058157C">
        <w:rPr>
          <w:sz w:val="24"/>
        </w:rPr>
        <w:t xml:space="preserve"> webpage</w:t>
      </w:r>
      <w:r w:rsidR="00AE0BD9">
        <w:rPr>
          <w:sz w:val="24"/>
        </w:rPr>
        <w:t>/</w:t>
      </w:r>
      <w:proofErr w:type="spellStart"/>
      <w:r w:rsidR="00AE0BD9">
        <w:rPr>
          <w:sz w:val="24"/>
        </w:rPr>
        <w:t>QMPlus</w:t>
      </w:r>
      <w:proofErr w:type="spellEnd"/>
      <w:r>
        <w:rPr>
          <w:sz w:val="24"/>
        </w:rPr>
        <w:t xml:space="preserve"> and the QMUL Health and Safety Directorate website.</w:t>
      </w:r>
    </w:p>
    <w:p w:rsidR="00286960" w:rsidRDefault="00D2217D" w:rsidP="00D2217D">
      <w:pPr>
        <w:spacing w:before="157" w:line="259" w:lineRule="auto"/>
        <w:ind w:left="100" w:right="292"/>
        <w:jc w:val="both"/>
        <w:rPr>
          <w:sz w:val="24"/>
        </w:rPr>
      </w:pPr>
      <w:r w:rsidRPr="00D2217D">
        <w:rPr>
          <w:sz w:val="24"/>
        </w:rPr>
        <w:t xml:space="preserve">It is good practice to ensure all staff are aware of the support services available to them and how to access.  It is recommended that all staff are informed and reminders provided at regular intervals e.g. </w:t>
      </w:r>
      <w:proofErr w:type="gramStart"/>
      <w:r w:rsidRPr="00D2217D">
        <w:rPr>
          <w:sz w:val="24"/>
        </w:rPr>
        <w:t>6</w:t>
      </w:r>
      <w:proofErr w:type="gramEnd"/>
      <w:r w:rsidRPr="00D2217D">
        <w:rPr>
          <w:sz w:val="24"/>
        </w:rPr>
        <w:t xml:space="preserve"> monthly.  </w:t>
      </w:r>
    </w:p>
    <w:p w:rsidR="00D2217D" w:rsidRPr="00D2217D" w:rsidRDefault="00D2217D" w:rsidP="00D2217D">
      <w:pPr>
        <w:spacing w:before="157" w:line="259" w:lineRule="auto"/>
        <w:ind w:left="100" w:right="292"/>
        <w:jc w:val="both"/>
        <w:rPr>
          <w:sz w:val="24"/>
        </w:rPr>
      </w:pPr>
      <w:bookmarkStart w:id="0" w:name="_GoBack"/>
      <w:bookmarkEnd w:id="0"/>
      <w:r w:rsidRPr="00D2217D">
        <w:rPr>
          <w:sz w:val="24"/>
        </w:rPr>
        <w:t xml:space="preserve">Information on Occupational Health and the Employee Assistance Programme </w:t>
      </w:r>
      <w:proofErr w:type="gramStart"/>
      <w:r w:rsidRPr="00D2217D">
        <w:rPr>
          <w:sz w:val="24"/>
        </w:rPr>
        <w:t>can be found</w:t>
      </w:r>
      <w:proofErr w:type="gramEnd"/>
      <w:r w:rsidRPr="00D2217D">
        <w:rPr>
          <w:sz w:val="24"/>
        </w:rPr>
        <w:t xml:space="preserve"> on the intranet as follows:-</w:t>
      </w:r>
    </w:p>
    <w:p w:rsidR="00D2217D" w:rsidRPr="00D2217D" w:rsidRDefault="00D2217D" w:rsidP="00D2217D">
      <w:pPr>
        <w:spacing w:before="157"/>
        <w:ind w:left="100" w:right="292"/>
        <w:jc w:val="both"/>
        <w:rPr>
          <w:sz w:val="24"/>
        </w:rPr>
      </w:pPr>
      <w:r w:rsidRPr="00D2217D">
        <w:rPr>
          <w:sz w:val="24"/>
        </w:rPr>
        <w:t>Occupational Health - http://hr.qmul.ac.uk/about-us/</w:t>
      </w:r>
    </w:p>
    <w:p w:rsidR="00157EDD" w:rsidRDefault="00D2217D" w:rsidP="00D2217D">
      <w:pPr>
        <w:spacing w:before="157"/>
        <w:ind w:left="100" w:right="292"/>
        <w:jc w:val="both"/>
        <w:rPr>
          <w:sz w:val="24"/>
        </w:rPr>
      </w:pPr>
      <w:r w:rsidRPr="00D2217D">
        <w:rPr>
          <w:sz w:val="24"/>
        </w:rPr>
        <w:t>Workplace Options - </w:t>
      </w:r>
      <w:hyperlink r:id="rId4" w:tgtFrame="_blank" w:history="1">
        <w:r w:rsidRPr="00D2217D">
          <w:rPr>
            <w:rStyle w:val="Hyperlink"/>
            <w:sz w:val="24"/>
          </w:rPr>
          <w:t>http://hr.qmul.ac.uk/about-us/staff-support/</w:t>
        </w:r>
      </w:hyperlink>
    </w:p>
    <w:p w:rsidR="00157EDD" w:rsidRDefault="00166AD8" w:rsidP="00157EDD">
      <w:pPr>
        <w:spacing w:before="158"/>
        <w:ind w:left="100"/>
        <w:jc w:val="both"/>
        <w:rPr>
          <w:sz w:val="24"/>
        </w:rPr>
      </w:pPr>
      <w:r>
        <w:rPr>
          <w:noProof/>
          <w:lang w:bidi="ar-SA"/>
        </w:rPr>
        <w:drawing>
          <wp:anchor distT="0" distB="0" distL="114300" distR="114300" simplePos="0" relativeHeight="251659264" behindDoc="1" locked="0" layoutInCell="1" allowOverlap="1" wp14:anchorId="42200BBE" wp14:editId="626F463F">
            <wp:simplePos x="0" y="0"/>
            <wp:positionH relativeFrom="margin">
              <wp:align>left</wp:align>
            </wp:positionH>
            <wp:positionV relativeFrom="paragraph">
              <wp:posOffset>287020</wp:posOffset>
            </wp:positionV>
            <wp:extent cx="1466850" cy="559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P_signature.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850" cy="559435"/>
                    </a:xfrm>
                    <a:prstGeom prst="rect">
                      <a:avLst/>
                    </a:prstGeom>
                  </pic:spPr>
                </pic:pic>
              </a:graphicData>
            </a:graphic>
            <wp14:sizeRelH relativeFrom="page">
              <wp14:pctWidth>0</wp14:pctWidth>
            </wp14:sizeRelH>
            <wp14:sizeRelV relativeFrom="page">
              <wp14:pctHeight>0</wp14:pctHeight>
            </wp14:sizeRelV>
          </wp:anchor>
        </w:drawing>
      </w:r>
      <w:r w:rsidR="00157EDD">
        <w:rPr>
          <w:sz w:val="24"/>
        </w:rPr>
        <w:t>Signed:</w:t>
      </w:r>
    </w:p>
    <w:p w:rsidR="00166AD8" w:rsidRDefault="00166AD8" w:rsidP="00166AD8">
      <w:pPr>
        <w:spacing w:before="158"/>
        <w:jc w:val="both"/>
        <w:rPr>
          <w:sz w:val="24"/>
        </w:rPr>
      </w:pPr>
    </w:p>
    <w:p w:rsidR="00166AD8" w:rsidRDefault="00166AD8" w:rsidP="00166AD8">
      <w:pPr>
        <w:spacing w:before="158"/>
        <w:jc w:val="both"/>
        <w:rPr>
          <w:sz w:val="24"/>
        </w:rPr>
      </w:pPr>
    </w:p>
    <w:p w:rsidR="00157EDD" w:rsidRDefault="00157EDD" w:rsidP="00166AD8">
      <w:pPr>
        <w:spacing w:before="158"/>
        <w:jc w:val="both"/>
        <w:rPr>
          <w:sz w:val="24"/>
        </w:rPr>
      </w:pPr>
      <w:r>
        <w:rPr>
          <w:sz w:val="24"/>
        </w:rPr>
        <w:t>Professor Richard Pickersgill</w:t>
      </w:r>
    </w:p>
    <w:p w:rsidR="00157EDD" w:rsidRDefault="00147396" w:rsidP="00166AD8">
      <w:pPr>
        <w:spacing w:before="158"/>
        <w:jc w:val="both"/>
        <w:rPr>
          <w:sz w:val="24"/>
        </w:rPr>
      </w:pPr>
      <w:r>
        <w:rPr>
          <w:sz w:val="24"/>
        </w:rPr>
        <w:t>SBCS Head o</w:t>
      </w:r>
      <w:r w:rsidR="00157EDD">
        <w:rPr>
          <w:sz w:val="24"/>
        </w:rPr>
        <w:t xml:space="preserve">f School </w:t>
      </w:r>
    </w:p>
    <w:p w:rsidR="00157EDD" w:rsidRDefault="00157EDD" w:rsidP="00157EDD">
      <w:pPr>
        <w:pStyle w:val="BodyText"/>
        <w:rPr>
          <w:sz w:val="24"/>
        </w:rPr>
      </w:pPr>
    </w:p>
    <w:p w:rsidR="00157EDD" w:rsidRDefault="00157EDD" w:rsidP="00157EDD">
      <w:pPr>
        <w:spacing w:before="179"/>
        <w:ind w:left="100"/>
        <w:jc w:val="both"/>
        <w:rPr>
          <w:sz w:val="24"/>
        </w:rPr>
      </w:pPr>
      <w:r>
        <w:rPr>
          <w:sz w:val="24"/>
        </w:rPr>
        <w:t>Date:</w:t>
      </w:r>
      <w:r w:rsidR="00AA50EE">
        <w:rPr>
          <w:sz w:val="24"/>
        </w:rPr>
        <w:t xml:space="preserve"> 29/10/20</w:t>
      </w:r>
    </w:p>
    <w:p w:rsidR="00157EDD" w:rsidRDefault="00157EDD" w:rsidP="00157EDD">
      <w:pPr>
        <w:spacing w:before="179"/>
        <w:ind w:left="100"/>
        <w:jc w:val="both"/>
        <w:rPr>
          <w:sz w:val="24"/>
        </w:rPr>
      </w:pPr>
    </w:p>
    <w:p w:rsidR="00891D3B" w:rsidRDefault="00891D3B"/>
    <w:sectPr w:rsidR="00891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DD"/>
    <w:rsid w:val="00147396"/>
    <w:rsid w:val="00157EDD"/>
    <w:rsid w:val="00166AD8"/>
    <w:rsid w:val="00286960"/>
    <w:rsid w:val="003C4CD7"/>
    <w:rsid w:val="0058157C"/>
    <w:rsid w:val="00610E8F"/>
    <w:rsid w:val="00803B8D"/>
    <w:rsid w:val="00891D3B"/>
    <w:rsid w:val="008E15E9"/>
    <w:rsid w:val="00AA50EE"/>
    <w:rsid w:val="00AE0BD9"/>
    <w:rsid w:val="00D2217D"/>
    <w:rsid w:val="00F96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B2A8"/>
  <w15:chartTrackingRefBased/>
  <w15:docId w15:val="{906F3FDA-689E-4189-9154-1E761771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7EDD"/>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57EDD"/>
  </w:style>
  <w:style w:type="character" w:customStyle="1" w:styleId="BodyTextChar">
    <w:name w:val="Body Text Char"/>
    <w:basedOn w:val="DefaultParagraphFont"/>
    <w:link w:val="BodyText"/>
    <w:uiPriority w:val="1"/>
    <w:rsid w:val="00157EDD"/>
    <w:rPr>
      <w:rFonts w:ascii="Calibri" w:eastAsia="Calibri" w:hAnsi="Calibri" w:cs="Calibri"/>
      <w:lang w:eastAsia="en-GB" w:bidi="en-GB"/>
    </w:rPr>
  </w:style>
  <w:style w:type="paragraph" w:styleId="BalloonText">
    <w:name w:val="Balloon Text"/>
    <w:basedOn w:val="Normal"/>
    <w:link w:val="BalloonTextChar"/>
    <w:uiPriority w:val="99"/>
    <w:semiHidden/>
    <w:unhideWhenUsed/>
    <w:rsid w:val="00581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57C"/>
    <w:rPr>
      <w:rFonts w:ascii="Segoe UI" w:eastAsia="Calibri" w:hAnsi="Segoe UI" w:cs="Segoe UI"/>
      <w:sz w:val="18"/>
      <w:szCs w:val="18"/>
      <w:lang w:eastAsia="en-GB" w:bidi="en-GB"/>
    </w:rPr>
  </w:style>
  <w:style w:type="character" w:styleId="Hyperlink">
    <w:name w:val="Hyperlink"/>
    <w:basedOn w:val="DefaultParagraphFont"/>
    <w:uiPriority w:val="99"/>
    <w:unhideWhenUsed/>
    <w:rsid w:val="00D22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19590">
      <w:bodyDiv w:val="1"/>
      <w:marLeft w:val="0"/>
      <w:marRight w:val="0"/>
      <w:marTop w:val="0"/>
      <w:marBottom w:val="0"/>
      <w:divBdr>
        <w:top w:val="none" w:sz="0" w:space="0" w:color="auto"/>
        <w:left w:val="none" w:sz="0" w:space="0" w:color="auto"/>
        <w:bottom w:val="none" w:sz="0" w:space="0" w:color="auto"/>
        <w:right w:val="none" w:sz="0" w:space="0" w:color="auto"/>
      </w:divBdr>
    </w:div>
    <w:div w:id="16012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hyperlink" Target="http://hr.qmul.ac.uk/about-us/staff-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Court</dc:creator>
  <cp:keywords/>
  <dc:description/>
  <cp:lastModifiedBy>Sian Cooper</cp:lastModifiedBy>
  <cp:revision>5</cp:revision>
  <cp:lastPrinted>2019-08-23T10:01:00Z</cp:lastPrinted>
  <dcterms:created xsi:type="dcterms:W3CDTF">2020-10-29T11:29:00Z</dcterms:created>
  <dcterms:modified xsi:type="dcterms:W3CDTF">2020-10-29T14:57:00Z</dcterms:modified>
</cp:coreProperties>
</file>