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6DD9" w14:textId="5E7FEAE8" w:rsidR="007900A8" w:rsidRPr="00907B6F" w:rsidRDefault="00A36786" w:rsidP="006B0076">
      <w:pPr>
        <w:pStyle w:val="Heading1"/>
        <w:rPr>
          <w:rFonts w:asciiTheme="minorHAnsi" w:hAnsiTheme="minorHAnsi"/>
          <w:b w:val="0"/>
        </w:rPr>
      </w:pPr>
      <w:r w:rsidRPr="00907B6F">
        <w:rPr>
          <w:rFonts w:asciiTheme="minorHAnsi" w:hAnsiTheme="minorHAnsi"/>
          <w:b w:val="0"/>
        </w:rPr>
        <w:t xml:space="preserve">A Statistical Analysis Proposal: Validity of ROX index for Nasal High Flow Therapy in Critical Care Patients, including those with hypercapnic respiratory failure </w:t>
      </w:r>
      <w:r w:rsidR="009C79B6" w:rsidRPr="00907B6F">
        <w:rPr>
          <w:rFonts w:asciiTheme="minorHAnsi" w:hAnsiTheme="minorHAnsi"/>
          <w:b w:val="0"/>
        </w:rPr>
        <w:t xml:space="preserve"> </w:t>
      </w:r>
    </w:p>
    <w:p w14:paraId="78E4EE01" w14:textId="3DE3A717" w:rsidR="007900A8" w:rsidRPr="00A36786" w:rsidRDefault="00637982" w:rsidP="006B0076">
      <w:pPr>
        <w:spacing w:after="0" w:line="240" w:lineRule="auto"/>
        <w:jc w:val="center"/>
        <w:rPr>
          <w:i/>
        </w:rPr>
      </w:pPr>
      <w:r w:rsidRPr="00A36786">
        <w:rPr>
          <w:i/>
        </w:rPr>
        <w:t xml:space="preserve">Raquel </w:t>
      </w:r>
      <w:r w:rsidR="00786E31" w:rsidRPr="00A36786">
        <w:rPr>
          <w:i/>
        </w:rPr>
        <w:t>D</w:t>
      </w:r>
      <w:r w:rsidRPr="00A36786">
        <w:rPr>
          <w:i/>
        </w:rPr>
        <w:t>’ E</w:t>
      </w:r>
      <w:r w:rsidR="00786E31" w:rsidRPr="00A36786">
        <w:rPr>
          <w:i/>
        </w:rPr>
        <w:t>spiney</w:t>
      </w:r>
      <w:r w:rsidR="00907B6F">
        <w:rPr>
          <w:vertAlign w:val="superscript"/>
        </w:rPr>
        <w:t>1</w:t>
      </w:r>
      <w:r w:rsidR="00907B6F">
        <w:rPr>
          <w:i/>
        </w:rPr>
        <w:t>*, Alex Robbins</w:t>
      </w:r>
      <w:r w:rsidR="00907B6F">
        <w:rPr>
          <w:vertAlign w:val="superscript"/>
        </w:rPr>
        <w:t>2</w:t>
      </w:r>
      <w:r w:rsidR="00907B6F">
        <w:rPr>
          <w:i/>
        </w:rPr>
        <w:t>*</w:t>
      </w:r>
      <w:r w:rsidR="00786E31" w:rsidRPr="00A36786">
        <w:rPr>
          <w:i/>
        </w:rPr>
        <w:t xml:space="preserve">, </w:t>
      </w:r>
      <w:r w:rsidR="00DC4C2D" w:rsidRPr="00A36786">
        <w:rPr>
          <w:i/>
        </w:rPr>
        <w:t>Joe Vincent</w:t>
      </w:r>
      <w:r w:rsidR="00907B6F">
        <w:rPr>
          <w:vertAlign w:val="superscript"/>
        </w:rPr>
        <w:t>1</w:t>
      </w:r>
      <w:r w:rsidR="004B0F93" w:rsidRPr="00A36786">
        <w:rPr>
          <w:i/>
        </w:rPr>
        <w:t xml:space="preserve">, </w:t>
      </w:r>
      <w:r w:rsidR="00F171F0" w:rsidRPr="00A36786">
        <w:rPr>
          <w:i/>
        </w:rPr>
        <w:t>Vladimir Macavei</w:t>
      </w:r>
      <w:r w:rsidR="00907B6F">
        <w:rPr>
          <w:vertAlign w:val="superscript"/>
        </w:rPr>
        <w:t>1</w:t>
      </w:r>
      <w:r w:rsidR="00F171F0" w:rsidRPr="00A36786">
        <w:rPr>
          <w:i/>
        </w:rPr>
        <w:t>, J F Martin - Lazaro</w:t>
      </w:r>
      <w:r w:rsidR="00907B6F">
        <w:rPr>
          <w:vertAlign w:val="superscript"/>
        </w:rPr>
        <w:t xml:space="preserve">1 </w:t>
      </w:r>
      <w:r w:rsidR="00907B6F">
        <w:rPr>
          <w:i/>
        </w:rPr>
        <w:t>and Yize Wan</w:t>
      </w:r>
      <w:r w:rsidR="00907B6F">
        <w:rPr>
          <w:vertAlign w:val="superscript"/>
        </w:rPr>
        <w:t>2</w:t>
      </w:r>
      <w:r w:rsidR="004B0F93" w:rsidRPr="00A36786">
        <w:rPr>
          <w:i/>
        </w:rPr>
        <w:t>.</w:t>
      </w:r>
    </w:p>
    <w:p w14:paraId="54FD4812" w14:textId="77777777" w:rsidR="00907B6F" w:rsidRDefault="00907B6F" w:rsidP="00907B6F">
      <w:pPr>
        <w:spacing w:after="0" w:line="240" w:lineRule="auto"/>
      </w:pPr>
    </w:p>
    <w:p w14:paraId="018B83D8" w14:textId="53BC3E48" w:rsidR="00786E31" w:rsidRDefault="00786E31" w:rsidP="00907B6F">
      <w:pPr>
        <w:spacing w:after="0" w:line="240" w:lineRule="auto"/>
      </w:pPr>
      <w:r w:rsidRPr="00A36786">
        <w:t>Intensive Care Unit</w:t>
      </w:r>
      <w:r w:rsidR="00907B6F">
        <w:t>,</w:t>
      </w:r>
      <w:r w:rsidRPr="00A36786">
        <w:t xml:space="preserve"> Newham University Hospital. London, UK.</w:t>
      </w:r>
    </w:p>
    <w:p w14:paraId="13C2B8E0" w14:textId="303B3727" w:rsidR="00907B6F" w:rsidRPr="00A36786" w:rsidRDefault="00907B6F" w:rsidP="00907B6F">
      <w:pPr>
        <w:spacing w:after="0" w:line="240" w:lineRule="auto"/>
      </w:pPr>
      <w:r>
        <w:t>Adult Critical Care Unit, Royal London Hospital, London, UK.</w:t>
      </w:r>
    </w:p>
    <w:p w14:paraId="604DA319" w14:textId="3BCD7B3B" w:rsidR="00786E31" w:rsidRPr="00A36786" w:rsidRDefault="00907B6F" w:rsidP="008A7ABB">
      <w:r>
        <w:t xml:space="preserve">*Co-authors contributed equally to this study </w:t>
      </w:r>
    </w:p>
    <w:p w14:paraId="76D9FBC1" w14:textId="5292B425" w:rsidR="004F519D" w:rsidRPr="00907B6F" w:rsidRDefault="00A36786" w:rsidP="004F519D">
      <w:pPr>
        <w:pStyle w:val="Heading3"/>
        <w:rPr>
          <w:rFonts w:asciiTheme="minorHAnsi" w:hAnsiTheme="minorHAnsi"/>
        </w:rPr>
      </w:pPr>
      <w:r w:rsidRPr="00907B6F">
        <w:rPr>
          <w:rFonts w:asciiTheme="minorHAnsi" w:hAnsiTheme="minorHAnsi"/>
        </w:rPr>
        <w:t>Introduction</w:t>
      </w:r>
    </w:p>
    <w:p w14:paraId="0ACF3295" w14:textId="6E046512" w:rsidR="004F519D" w:rsidRPr="00A36786" w:rsidRDefault="00786E31" w:rsidP="008A7ABB">
      <w:r w:rsidRPr="00A36786">
        <w:t>Nasal high flow therapy (</w:t>
      </w:r>
      <w:r w:rsidR="006E3C34" w:rsidRPr="00A36786">
        <w:t>NHFT</w:t>
      </w:r>
      <w:r w:rsidRPr="00A36786">
        <w:t xml:space="preserve">) has been shown to be an effective </w:t>
      </w:r>
      <w:r w:rsidR="00C256CE" w:rsidRPr="00A36786">
        <w:t>respiratory support</w:t>
      </w:r>
      <w:r w:rsidRPr="00A36786">
        <w:t xml:space="preserve"> in patients with </w:t>
      </w:r>
      <w:proofErr w:type="spellStart"/>
      <w:r w:rsidR="00FF7304">
        <w:t>hypoxaemic</w:t>
      </w:r>
      <w:proofErr w:type="spellEnd"/>
      <w:r w:rsidR="00FF7304">
        <w:t xml:space="preserve"> </w:t>
      </w:r>
      <w:r w:rsidRPr="00A36786">
        <w:t>respiratory failure</w:t>
      </w:r>
      <w:r w:rsidR="00C16B13">
        <w:fldChar w:fldCharType="begin" w:fldLock="1"/>
      </w:r>
      <w:r w:rsidR="00907B6F">
        <w:instrText>ADDIN CSL_CITATION {"citationItems":[{"id":"ITEM-1","itemData":{"DOI":"10.1164/rccm.201803-0589OC","ISSN":"15354970","abstract":"Rationale: One important concern during high-flow nasal cannula (HFNC) therapy in patients with acute hypoxemic respiratory failure is to not delay intubation. Objectives: To validate the diagnostic accuracy of an index (termed ROX and defined as the ratio of oxygen saturation as measured by pulse oximetry/FIO2 to respiratory rate) for determining HFNC outcome (need or not for intubation). Methods: This was a 2-year multicenter prospective observational cohort study including patients with pneumonia treated with HFNC. Identification was through Cox proportional hazards modeling of ROXassociation withHFNCoutcome. The most specific cutoff of the ROX index to predict HFNC failure and success was assessed. Measurements and Main Results: Among the 191 patients treated with HFNC in the validation cohort, 68 (35.6%) required intubation. The prediction accuracy of the ROX index increased over time (area under the receiver operating characteristic curve: 2 h, 0.679; 6 h, 0.703; 12 h, 0.759). ROX greater than or equal to 4.88 measured at 2 (hazard ratio, 0.434; 95% confidence interval, 0.264-0.715; P = 0.001), 6 (hazard ratio, 0.304; 95% confidence interval, 0.182-0.509; P,0.001), or 12 hours (hazard ratio, 0.291; 95% confidence interval, 0.161-0.524; P,0.001) after HFNC initiation was consistently associated with a lower risk for intubation. A ROX less than 2.85, less than 3.47, and less than 3.85 at 2, 6, and 12 hours of HFNC initiation, respectively, were predictors of HFNC failure. Patients who failed presented a lower increase in the values of the ROX index over the 12 hours. Among components of the index, oxygen saturation as measured by pulse oximetry/FIO2 had a greater weight than respiratory rate. Conclusions: In patients with pneumonia with acute respiratory failure treated with HFNC, ROX is an index that can help identify those patients with low and those with high risk for intubation.","author":[{"dropping-particle":"","family":"Roca","given":"Oriol","non-dropping-particle":"","parse-names":false,"suffix":""},{"dropping-particle":"","family":"Caralt","given":"Berta","non-dropping-particle":"","parse-names":false,"suffix":""},{"dropping-particle":"","family":"Messika","given":"Jonathan","non-dropping-particle":"","parse-names":false,"suffix":""},{"dropping-particle":"","family":"Samper","given":"Manuel","non-dropping-particle":"","parse-names":false,"suffix":""},{"dropping-particle":"","family":"Sztrymf","given":"Benjamin","non-dropping-particle":"","parse-names":false,"suffix":""},{"dropping-particle":"","family":"Hernández","given":"Gonzalo","non-dropping-particle":"","parse-names":false,"suffix":""},{"dropping-particle":"","family":"García-De-Acilu","given":"Marina","non-dropping-particle":"","parse-names":false,"suffix":""},{"dropping-particle":"","family":"Frat","given":"Jean Pierre","non-dropping-particle":"","parse-names":false,"suffix":""},{"dropping-particle":"","family":"Masclans","given":"Joan R.","non-dropping-particle":"","parse-names":false,"suffix":""},{"dropping-particle":"","family":"Ricard","given":"Jean Damien","non-dropping-particle":"","parse-names":false,"suffix":""}],"container-title":"American Journal of Respiratory and Critical Care Medicine","id":"ITEM-1","issue":"11","issued":{"date-parts":[["2019","6"]]},"page":"1368-1376","publisher":"American Thoracic Society","title":"An index combining respiratory rate and oxygenation to predict outcome of nasal high-flow therapy","type":"article-journal","volume":"199"},"uris":["http://www.mendeley.com/documents/?uuid=81210c5a-bfc7-372c-9772-c3fdf0393b7b"]}],"mendeley":{"formattedCitation":"&lt;sup&gt;1&lt;/sup&gt;","plainTextFormattedCitation":"1","previouslyFormattedCitation":"&lt;sup&gt;1&lt;/sup&gt;"},"properties":{"noteIndex":0},"schema":"https://github.com/citation-style-language/schema/raw/master/csl-citation.json"}</w:instrText>
      </w:r>
      <w:r w:rsidR="00C16B13">
        <w:fldChar w:fldCharType="separate"/>
      </w:r>
      <w:r w:rsidR="00C16B13" w:rsidRPr="00C16B13">
        <w:rPr>
          <w:noProof/>
          <w:vertAlign w:val="superscript"/>
        </w:rPr>
        <w:t>1</w:t>
      </w:r>
      <w:r w:rsidR="00C16B13">
        <w:fldChar w:fldCharType="end"/>
      </w:r>
      <w:r w:rsidRPr="00A36786">
        <w:t xml:space="preserve">. </w:t>
      </w:r>
      <w:r w:rsidR="00663C0D" w:rsidRPr="00A36786">
        <w:t xml:space="preserve">A </w:t>
      </w:r>
      <w:r w:rsidR="00663C0D" w:rsidRPr="00A36786">
        <w:rPr>
          <w:rFonts w:cs="Arial"/>
          <w:color w:val="000000"/>
          <w:shd w:val="clear" w:color="auto" w:fill="FFFFFF"/>
        </w:rPr>
        <w:t>ROX index (ROXI=[SpO</w:t>
      </w:r>
      <w:r w:rsidR="00663C0D" w:rsidRPr="00A36786">
        <w:rPr>
          <w:rFonts w:cs="Arial"/>
          <w:color w:val="000000"/>
          <w:shd w:val="clear" w:color="auto" w:fill="FFFFFF"/>
          <w:vertAlign w:val="subscript"/>
        </w:rPr>
        <w:t>2</w:t>
      </w:r>
      <w:r w:rsidR="00663C0D" w:rsidRPr="00A36786">
        <w:rPr>
          <w:rFonts w:cs="Arial"/>
          <w:color w:val="000000"/>
          <w:shd w:val="clear" w:color="auto" w:fill="FFFFFF"/>
        </w:rPr>
        <w:t>/FiO</w:t>
      </w:r>
      <w:r w:rsidR="00663C0D" w:rsidRPr="00A36786">
        <w:rPr>
          <w:rFonts w:cs="Arial"/>
          <w:color w:val="000000"/>
          <w:shd w:val="clear" w:color="auto" w:fill="FFFFFF"/>
          <w:vertAlign w:val="subscript"/>
        </w:rPr>
        <w:t>2</w:t>
      </w:r>
      <w:r w:rsidR="00663C0D" w:rsidRPr="00A36786">
        <w:rPr>
          <w:rFonts w:cs="Arial"/>
          <w:color w:val="000000"/>
          <w:shd w:val="clear" w:color="auto" w:fill="FFFFFF"/>
        </w:rPr>
        <w:t>]/RR</w:t>
      </w:r>
      <w:r w:rsidR="00663C0D" w:rsidRPr="00A36786">
        <w:t>), defined as the ratio of SpO2/FIO2 to respiratory rate, can predict the risk of failure. Patients who had a ROX index ≥4.88 after</w:t>
      </w:r>
      <w:r w:rsidR="00893C52" w:rsidRPr="00A36786">
        <w:t xml:space="preserve"> 2, 6 and</w:t>
      </w:r>
      <w:r w:rsidR="00663C0D" w:rsidRPr="00A36786">
        <w:t xml:space="preserve"> 12 hours of HFNC therapy were less likely to be intubated, even after adju</w:t>
      </w:r>
      <w:r w:rsidR="005E159D" w:rsidRPr="00A36786">
        <w:t xml:space="preserve">sting for potential covariates. </w:t>
      </w:r>
      <w:r w:rsidR="00986625">
        <w:t xml:space="preserve">However, studies of NHFT and the predictive ability of the ROX index have thus far </w:t>
      </w:r>
      <w:r w:rsidR="00C16B13">
        <w:t xml:space="preserve">frequently </w:t>
      </w:r>
      <w:r w:rsidR="00986625">
        <w:t>excluded those with hypercapnic respiratory failure, patients who represent a significant proportion of ICU admissions for ventilatory support.</w:t>
      </w:r>
    </w:p>
    <w:p w14:paraId="22B0DF70" w14:textId="7AE63649" w:rsidR="00986625" w:rsidRDefault="00786E31" w:rsidP="00FE1000">
      <w:r w:rsidRPr="00A36786">
        <w:t xml:space="preserve">Clinical outcomes </w:t>
      </w:r>
      <w:r w:rsidR="00986625">
        <w:t>for patients treated with</w:t>
      </w:r>
      <w:r w:rsidR="00986625" w:rsidRPr="00A36786">
        <w:t xml:space="preserve"> </w:t>
      </w:r>
      <w:r w:rsidR="006E3C34" w:rsidRPr="00A36786">
        <w:t>NHFT</w:t>
      </w:r>
      <w:r w:rsidRPr="00A36786">
        <w:t xml:space="preserve"> </w:t>
      </w:r>
      <w:r w:rsidR="00986625">
        <w:t xml:space="preserve">for hypercapnic respiratory failure are </w:t>
      </w:r>
      <w:r w:rsidRPr="00A36786">
        <w:t xml:space="preserve">less well understood as research to date has </w:t>
      </w:r>
      <w:r w:rsidR="00986625">
        <w:t xml:space="preserve">frequently </w:t>
      </w:r>
      <w:r w:rsidRPr="00A36786">
        <w:t xml:space="preserve">excluded hypercapnic patients. However, there is growing evidence that suggests </w:t>
      </w:r>
      <w:r w:rsidR="006E3C34" w:rsidRPr="00A36786">
        <w:t>NHFT</w:t>
      </w:r>
      <w:r w:rsidRPr="00A36786">
        <w:t xml:space="preserve"> could be beneficial </w:t>
      </w:r>
      <w:r w:rsidR="001B0069" w:rsidRPr="00A36786">
        <w:t xml:space="preserve">in patients with </w:t>
      </w:r>
      <w:r w:rsidR="00B82E7D" w:rsidRPr="00A36786">
        <w:t>T</w:t>
      </w:r>
      <w:r w:rsidR="001B0069" w:rsidRPr="00A36786">
        <w:t>ype II respiratory failure</w:t>
      </w:r>
      <w:r w:rsidRPr="00A36786">
        <w:t>.</w:t>
      </w:r>
      <w:r w:rsidR="001B0069" w:rsidRPr="00A36786">
        <w:t xml:space="preserve"> </w:t>
      </w:r>
    </w:p>
    <w:p w14:paraId="259F1EA5" w14:textId="77777777" w:rsidR="00986625" w:rsidRPr="00A36786" w:rsidRDefault="00986625" w:rsidP="00986625">
      <w:pPr>
        <w:pStyle w:val="Heading3"/>
        <w:rPr>
          <w:rFonts w:asciiTheme="minorHAnsi" w:hAnsiTheme="minorHAnsi"/>
        </w:rPr>
      </w:pPr>
      <w:r w:rsidRPr="00A36786">
        <w:rPr>
          <w:rFonts w:asciiTheme="minorHAnsi" w:hAnsiTheme="minorHAnsi"/>
        </w:rPr>
        <w:t>Objectives</w:t>
      </w:r>
    </w:p>
    <w:p w14:paraId="4F4631BE" w14:textId="68914C49" w:rsidR="007D2026" w:rsidRPr="007D2026" w:rsidRDefault="00986625" w:rsidP="00FE1000">
      <w:r>
        <w:t xml:space="preserve">This retrospective observational cohort study aimed to </w:t>
      </w:r>
      <w:r w:rsidRPr="00A36786">
        <w:t xml:space="preserve">validate the diagnostic accuracy of </w:t>
      </w:r>
      <w:r w:rsidR="007D2026">
        <w:t xml:space="preserve">the ROX index </w:t>
      </w:r>
      <w:r w:rsidRPr="00A36786">
        <w:t xml:space="preserve">for </w:t>
      </w:r>
      <w:r w:rsidRPr="007D2026">
        <w:t>determining HFNC outcome</w:t>
      </w:r>
      <w:r w:rsidR="007D2026" w:rsidRPr="007D2026">
        <w:t>s in those with Type 1 and Type 2 respiratory failure</w:t>
      </w:r>
      <w:r w:rsidRPr="007D2026">
        <w:t>.</w:t>
      </w:r>
      <w:r w:rsidR="00F275AE">
        <w:t xml:space="preserve"> Our objectives were:</w:t>
      </w:r>
    </w:p>
    <w:p w14:paraId="6FDEAAAD" w14:textId="67BCCC6A" w:rsidR="007D2026" w:rsidRPr="00A1017F" w:rsidRDefault="007D2026" w:rsidP="00A1017F">
      <w:pPr>
        <w:pStyle w:val="ListParagraph"/>
        <w:numPr>
          <w:ilvl w:val="0"/>
          <w:numId w:val="4"/>
        </w:numPr>
        <w:rPr>
          <w:rFonts w:asciiTheme="minorHAnsi" w:hAnsiTheme="minorHAnsi"/>
          <w:sz w:val="22"/>
          <w:szCs w:val="22"/>
        </w:rPr>
      </w:pPr>
      <w:r w:rsidRPr="00A1017F">
        <w:rPr>
          <w:rFonts w:asciiTheme="minorHAnsi" w:hAnsiTheme="minorHAnsi"/>
          <w:sz w:val="22"/>
          <w:szCs w:val="22"/>
        </w:rPr>
        <w:t>To demonstrate that a ROX index</w:t>
      </w:r>
      <w:r>
        <w:rPr>
          <w:rFonts w:asciiTheme="minorHAnsi" w:hAnsiTheme="minorHAnsi"/>
          <w:sz w:val="22"/>
          <w:szCs w:val="22"/>
        </w:rPr>
        <w:t xml:space="preserve"> &gt;4.88</w:t>
      </w:r>
      <w:r w:rsidRPr="007D2026">
        <w:rPr>
          <w:rFonts w:asciiTheme="minorHAnsi" w:hAnsiTheme="minorHAnsi"/>
          <w:sz w:val="22"/>
          <w:szCs w:val="22"/>
        </w:rPr>
        <w:t xml:space="preserve"> is a predictive of HFNT success</w:t>
      </w:r>
      <w:r w:rsidRPr="00A1017F">
        <w:rPr>
          <w:rFonts w:asciiTheme="minorHAnsi" w:hAnsiTheme="minorHAnsi"/>
          <w:sz w:val="22"/>
          <w:szCs w:val="22"/>
        </w:rPr>
        <w:t xml:space="preserve"> in those with type 1 respiratory failure and type 2 respiratory failure</w:t>
      </w:r>
    </w:p>
    <w:p w14:paraId="3BC0E2A1" w14:textId="195588BE" w:rsidR="007D2026" w:rsidRDefault="007D2026" w:rsidP="00A1017F">
      <w:pPr>
        <w:pStyle w:val="ListParagraph"/>
        <w:numPr>
          <w:ilvl w:val="0"/>
          <w:numId w:val="4"/>
        </w:numPr>
        <w:rPr>
          <w:rFonts w:asciiTheme="minorHAnsi" w:hAnsiTheme="minorHAnsi"/>
          <w:sz w:val="22"/>
          <w:szCs w:val="22"/>
        </w:rPr>
      </w:pPr>
      <w:r>
        <w:rPr>
          <w:rFonts w:asciiTheme="minorHAnsi" w:hAnsiTheme="minorHAnsi"/>
          <w:sz w:val="22"/>
          <w:szCs w:val="22"/>
        </w:rPr>
        <w:t xml:space="preserve">To examine the ROX index values for those in Type 1 and 2 respiratory failure and investigate if the optimum predictive cut off values are significantly different between the 2 groups </w:t>
      </w:r>
    </w:p>
    <w:p w14:paraId="2EB9E003" w14:textId="77777777" w:rsidR="00A1017F" w:rsidRDefault="007D2026" w:rsidP="00A1017F">
      <w:pPr>
        <w:pStyle w:val="ListParagraph"/>
        <w:numPr>
          <w:ilvl w:val="0"/>
          <w:numId w:val="4"/>
        </w:numPr>
        <w:rPr>
          <w:rFonts w:asciiTheme="minorHAnsi" w:hAnsiTheme="minorHAnsi"/>
          <w:sz w:val="22"/>
          <w:szCs w:val="22"/>
        </w:rPr>
      </w:pPr>
      <w:r>
        <w:rPr>
          <w:rFonts w:asciiTheme="minorHAnsi" w:hAnsiTheme="minorHAnsi"/>
          <w:sz w:val="22"/>
          <w:szCs w:val="22"/>
        </w:rPr>
        <w:t xml:space="preserve">To use the ROX index to define a population of patients with Type 2 respiratory failure who benefit from HFNT and are unlikely to fail this treatment </w:t>
      </w:r>
    </w:p>
    <w:p w14:paraId="41E983E6" w14:textId="77777777" w:rsidR="00DA71E9" w:rsidRDefault="00A1017F" w:rsidP="00A1017F">
      <w:pPr>
        <w:pStyle w:val="ListParagraph"/>
        <w:numPr>
          <w:ilvl w:val="0"/>
          <w:numId w:val="4"/>
        </w:numPr>
        <w:rPr>
          <w:rFonts w:asciiTheme="minorHAnsi" w:hAnsiTheme="minorHAnsi"/>
          <w:sz w:val="22"/>
          <w:szCs w:val="22"/>
        </w:rPr>
      </w:pPr>
      <w:r>
        <w:rPr>
          <w:rFonts w:asciiTheme="minorHAnsi" w:hAnsiTheme="minorHAnsi"/>
          <w:sz w:val="22"/>
          <w:szCs w:val="22"/>
        </w:rPr>
        <w:t xml:space="preserve">For those that fail HFNT in either group we will report the time to failure and test for significant difference </w:t>
      </w:r>
    </w:p>
    <w:p w14:paraId="3153812A" w14:textId="77777777" w:rsidR="00DA71E9" w:rsidRDefault="00DA71E9" w:rsidP="00DA71E9">
      <w:pPr>
        <w:pStyle w:val="ListParagraph"/>
        <w:ind w:left="1080"/>
        <w:rPr>
          <w:rFonts w:asciiTheme="minorHAnsi" w:hAnsiTheme="minorHAnsi"/>
          <w:sz w:val="22"/>
          <w:szCs w:val="22"/>
        </w:rPr>
      </w:pPr>
    </w:p>
    <w:p w14:paraId="6B8EEF24" w14:textId="77777777" w:rsidR="00DA71E9" w:rsidRDefault="00DA71E9" w:rsidP="00DA71E9">
      <w:pPr>
        <w:pStyle w:val="ListParagraph"/>
        <w:ind w:left="1080"/>
        <w:rPr>
          <w:rFonts w:asciiTheme="minorHAnsi" w:hAnsiTheme="minorHAnsi"/>
          <w:sz w:val="22"/>
          <w:szCs w:val="22"/>
        </w:rPr>
      </w:pPr>
    </w:p>
    <w:p w14:paraId="657916F9" w14:textId="77777777" w:rsidR="00DA71E9" w:rsidRDefault="00DA71E9" w:rsidP="00DA71E9">
      <w:pPr>
        <w:pStyle w:val="ListParagraph"/>
        <w:ind w:left="1080"/>
        <w:rPr>
          <w:rFonts w:asciiTheme="minorHAnsi" w:hAnsiTheme="minorHAnsi"/>
          <w:sz w:val="22"/>
          <w:szCs w:val="22"/>
        </w:rPr>
      </w:pPr>
    </w:p>
    <w:p w14:paraId="437A013E" w14:textId="77777777" w:rsidR="00DA71E9" w:rsidRDefault="00DA71E9" w:rsidP="00DA71E9">
      <w:pPr>
        <w:pStyle w:val="ListParagraph"/>
        <w:ind w:left="1080"/>
        <w:rPr>
          <w:rFonts w:asciiTheme="minorHAnsi" w:hAnsiTheme="minorHAnsi"/>
          <w:sz w:val="22"/>
          <w:szCs w:val="22"/>
        </w:rPr>
      </w:pPr>
    </w:p>
    <w:p w14:paraId="3A8E7826" w14:textId="77777777" w:rsidR="00DA71E9" w:rsidRDefault="00DA71E9" w:rsidP="00DA71E9">
      <w:pPr>
        <w:pStyle w:val="ListParagraph"/>
        <w:ind w:left="1080"/>
        <w:rPr>
          <w:rFonts w:asciiTheme="minorHAnsi" w:hAnsiTheme="minorHAnsi"/>
          <w:sz w:val="22"/>
          <w:szCs w:val="22"/>
        </w:rPr>
      </w:pPr>
    </w:p>
    <w:p w14:paraId="06A40E5E" w14:textId="77777777" w:rsidR="00DA71E9" w:rsidRDefault="00DA71E9" w:rsidP="00DA71E9">
      <w:pPr>
        <w:pStyle w:val="ListParagraph"/>
        <w:ind w:left="1080"/>
        <w:rPr>
          <w:rFonts w:asciiTheme="minorHAnsi" w:hAnsiTheme="minorHAnsi"/>
          <w:sz w:val="22"/>
          <w:szCs w:val="22"/>
        </w:rPr>
      </w:pPr>
    </w:p>
    <w:p w14:paraId="6D0858CF" w14:textId="77777777" w:rsidR="00DA71E9" w:rsidRDefault="00DA71E9" w:rsidP="00DA71E9">
      <w:pPr>
        <w:rPr>
          <w:b/>
        </w:rPr>
      </w:pPr>
      <w:r w:rsidRPr="00DA71E9">
        <w:rPr>
          <w:b/>
        </w:rPr>
        <w:t>Outcomes</w:t>
      </w:r>
    </w:p>
    <w:p w14:paraId="2B49FD6B" w14:textId="2790DC3D" w:rsidR="00DA71E9" w:rsidRDefault="00DA71E9" w:rsidP="00DA71E9">
      <w:r>
        <w:t xml:space="preserve">The primary outcome is the failure of HFNT as demonstrated by escalation to non invasive ventilation, mechanical </w:t>
      </w:r>
      <w:proofErr w:type="gramStart"/>
      <w:r>
        <w:t>ventilation</w:t>
      </w:r>
      <w:proofErr w:type="gramEnd"/>
      <w:r>
        <w:t xml:space="preserve"> or death.</w:t>
      </w:r>
    </w:p>
    <w:p w14:paraId="66744645" w14:textId="69BBA882" w:rsidR="004F519D" w:rsidRPr="00DA71E9" w:rsidRDefault="00DA71E9" w:rsidP="00DA71E9">
      <w:r>
        <w:t>Secondary outcomes are the time to failure of HFNT and survival to discharge from ICU.</w:t>
      </w:r>
    </w:p>
    <w:p w14:paraId="34338D1E" w14:textId="5476952E" w:rsidR="006C7B55" w:rsidRPr="00DA71E9" w:rsidRDefault="006C7B55" w:rsidP="008337A3">
      <w:pPr>
        <w:pStyle w:val="Heading3"/>
        <w:rPr>
          <w:rFonts w:asciiTheme="minorHAnsi" w:hAnsiTheme="minorHAnsi"/>
        </w:rPr>
      </w:pPr>
      <w:r w:rsidRPr="007D2026">
        <w:rPr>
          <w:rFonts w:asciiTheme="minorHAnsi" w:hAnsiTheme="minorHAnsi"/>
        </w:rPr>
        <w:t>Methods</w:t>
      </w:r>
    </w:p>
    <w:p w14:paraId="14385913" w14:textId="4D733220" w:rsidR="00ED5984" w:rsidRPr="00ED5984" w:rsidRDefault="00986625" w:rsidP="00ED5984">
      <w:pPr>
        <w:rPr>
          <w:rFonts w:ascii="Times New Roman" w:eastAsia="Times New Roman" w:hAnsi="Times New Roman" w:cs="Times New Roman"/>
          <w:sz w:val="20"/>
          <w:szCs w:val="20"/>
        </w:rPr>
      </w:pPr>
      <w:r w:rsidRPr="007D2026">
        <w:t>This was a retrospective cohort study w</w:t>
      </w:r>
      <w:r w:rsidR="00D516F1" w:rsidRPr="007D2026">
        <w:t xml:space="preserve">hich included all patients admitted to Newham Intensive Care Unit and treated with Nasal high </w:t>
      </w:r>
      <w:r w:rsidR="00D516F1" w:rsidRPr="00C16B13">
        <w:t>flow</w:t>
      </w:r>
      <w:r w:rsidR="00D516F1" w:rsidRPr="00ED5984">
        <w:t xml:space="preserve"> therapy for either </w:t>
      </w:r>
      <w:proofErr w:type="spellStart"/>
      <w:r w:rsidR="00D516F1" w:rsidRPr="00ED5984">
        <w:t>hypoxaemic</w:t>
      </w:r>
      <w:proofErr w:type="spellEnd"/>
      <w:r w:rsidR="00D516F1" w:rsidRPr="00ED5984">
        <w:t xml:space="preserve"> (Type 1 respiratory failure) or hypercapnic (Type 2 respiratory failure)</w:t>
      </w:r>
      <w:r w:rsidR="007D2026">
        <w:t xml:space="preserve"> during a one year period</w:t>
      </w:r>
      <w:r w:rsidR="00DA71E9">
        <w:t xml:space="preserve"> </w:t>
      </w:r>
      <w:r w:rsidR="00907B6F">
        <w:t>during 2019</w:t>
      </w:r>
      <w:r w:rsidR="00D516F1" w:rsidRPr="00ED5984">
        <w:t xml:space="preserve">. </w:t>
      </w:r>
      <w:r w:rsidR="00ED5984" w:rsidRPr="008337A3">
        <w:rPr>
          <w:rFonts w:eastAsia="Times New Roman" w:cs="Times New Roman"/>
          <w:iCs/>
          <w:color w:val="333333"/>
          <w:shd w:val="clear" w:color="auto" w:fill="FFFFFF"/>
        </w:rPr>
        <w:t>Type 1 failure</w:t>
      </w:r>
      <w:r w:rsidR="00ED5984" w:rsidRPr="008337A3">
        <w:rPr>
          <w:rFonts w:eastAsia="Times New Roman" w:cs="Times New Roman"/>
          <w:color w:val="333333"/>
          <w:shd w:val="clear" w:color="auto" w:fill="FFFFFF"/>
        </w:rPr>
        <w:t> is defined by a Pa</w:t>
      </w:r>
      <w:r w:rsidR="00ED5984" w:rsidRPr="008337A3">
        <w:rPr>
          <w:rFonts w:eastAsia="Times New Roman" w:cs="Times New Roman"/>
          <w:caps/>
          <w:smallCaps/>
          <w:color w:val="333333"/>
          <w:shd w:val="clear" w:color="auto" w:fill="FFFFFF"/>
        </w:rPr>
        <w:t>O</w:t>
      </w:r>
      <w:r w:rsidR="00ED5984" w:rsidRPr="008337A3">
        <w:rPr>
          <w:rFonts w:eastAsia="Times New Roman" w:cs="Times New Roman"/>
          <w:color w:val="333333"/>
          <w:shd w:val="clear" w:color="auto" w:fill="FFFFFF"/>
          <w:vertAlign w:val="subscript"/>
        </w:rPr>
        <w:t>2</w:t>
      </w:r>
      <w:r w:rsidR="00ED5984" w:rsidRPr="008337A3">
        <w:rPr>
          <w:rFonts w:eastAsia="Times New Roman" w:cs="Times New Roman"/>
          <w:color w:val="333333"/>
          <w:shd w:val="clear" w:color="auto" w:fill="FFFFFF"/>
        </w:rPr>
        <w:t> of &lt;8 kPa with a normal or low Pa</w:t>
      </w:r>
      <w:r w:rsidR="00ED5984" w:rsidRPr="008337A3">
        <w:rPr>
          <w:rFonts w:eastAsia="Times New Roman" w:cs="Times New Roman"/>
          <w:caps/>
          <w:smallCaps/>
          <w:color w:val="333333"/>
          <w:shd w:val="clear" w:color="auto" w:fill="FFFFFF"/>
        </w:rPr>
        <w:t>CO</w:t>
      </w:r>
      <w:r w:rsidR="00ED5984" w:rsidRPr="008337A3">
        <w:rPr>
          <w:rFonts w:eastAsia="Times New Roman" w:cs="Times New Roman"/>
          <w:color w:val="333333"/>
          <w:shd w:val="clear" w:color="auto" w:fill="FFFFFF"/>
          <w:vertAlign w:val="subscript"/>
        </w:rPr>
        <w:t>2</w:t>
      </w:r>
      <w:r w:rsidR="00ED5984" w:rsidRPr="008337A3">
        <w:rPr>
          <w:rFonts w:eastAsia="Times New Roman" w:cs="Times New Roman"/>
          <w:color w:val="333333"/>
          <w:shd w:val="clear" w:color="auto" w:fill="FFFFFF"/>
        </w:rPr>
        <w:t>. </w:t>
      </w:r>
      <w:r w:rsidR="00ED5984" w:rsidRPr="008337A3">
        <w:rPr>
          <w:rFonts w:eastAsia="Times New Roman" w:cs="Times New Roman"/>
          <w:iCs/>
          <w:color w:val="333333"/>
          <w:shd w:val="clear" w:color="auto" w:fill="FFFFFF"/>
        </w:rPr>
        <w:t>Type 2 failure</w:t>
      </w:r>
      <w:r w:rsidR="00ED5984" w:rsidRPr="008337A3">
        <w:rPr>
          <w:rFonts w:eastAsia="Times New Roman" w:cs="Times New Roman"/>
          <w:color w:val="333333"/>
          <w:shd w:val="clear" w:color="auto" w:fill="FFFFFF"/>
        </w:rPr>
        <w:t> is defined by a Pa</w:t>
      </w:r>
      <w:r w:rsidR="00ED5984" w:rsidRPr="008337A3">
        <w:rPr>
          <w:rFonts w:eastAsia="Times New Roman" w:cs="Times New Roman"/>
          <w:caps/>
          <w:smallCaps/>
          <w:color w:val="333333"/>
          <w:shd w:val="clear" w:color="auto" w:fill="FFFFFF"/>
        </w:rPr>
        <w:t>O</w:t>
      </w:r>
      <w:r w:rsidR="00ED5984" w:rsidRPr="008337A3">
        <w:rPr>
          <w:rFonts w:eastAsia="Times New Roman" w:cs="Times New Roman"/>
          <w:color w:val="333333"/>
          <w:shd w:val="clear" w:color="auto" w:fill="FFFFFF"/>
          <w:vertAlign w:val="subscript"/>
        </w:rPr>
        <w:t>2</w:t>
      </w:r>
      <w:r w:rsidR="00ED5984" w:rsidRPr="008337A3">
        <w:rPr>
          <w:rFonts w:eastAsia="Times New Roman" w:cs="Times New Roman"/>
          <w:color w:val="333333"/>
          <w:shd w:val="clear" w:color="auto" w:fill="FFFFFF"/>
        </w:rPr>
        <w:t> of &lt;8 kPa and a Pa</w:t>
      </w:r>
      <w:r w:rsidR="00ED5984" w:rsidRPr="008337A3">
        <w:rPr>
          <w:rFonts w:eastAsia="Times New Roman" w:cs="Times New Roman"/>
          <w:caps/>
          <w:smallCaps/>
          <w:color w:val="333333"/>
          <w:shd w:val="clear" w:color="auto" w:fill="FFFFFF"/>
        </w:rPr>
        <w:t>CO</w:t>
      </w:r>
      <w:r w:rsidR="00ED5984" w:rsidRPr="008337A3">
        <w:rPr>
          <w:rFonts w:eastAsia="Times New Roman" w:cs="Times New Roman"/>
          <w:color w:val="333333"/>
          <w:shd w:val="clear" w:color="auto" w:fill="FFFFFF"/>
          <w:vertAlign w:val="subscript"/>
        </w:rPr>
        <w:t>2</w:t>
      </w:r>
      <w:r w:rsidR="00ED5984" w:rsidRPr="008337A3">
        <w:rPr>
          <w:rFonts w:eastAsia="Times New Roman" w:cs="Times New Roman"/>
          <w:color w:val="333333"/>
          <w:shd w:val="clear" w:color="auto" w:fill="FFFFFF"/>
        </w:rPr>
        <w:t> of &gt;6 kPa</w:t>
      </w:r>
      <w:r w:rsidR="00907B6F">
        <w:rPr>
          <w:rFonts w:eastAsia="Times New Roman" w:cs="Times New Roman"/>
          <w:color w:val="333333"/>
          <w:shd w:val="clear" w:color="auto" w:fill="FFFFFF"/>
        </w:rPr>
        <w:fldChar w:fldCharType="begin" w:fldLock="1"/>
      </w:r>
      <w:r w:rsidR="00907B6F">
        <w:rPr>
          <w:rFonts w:eastAsia="Times New Roman" w:cs="Times New Roman"/>
          <w:color w:val="333333"/>
          <w:shd w:val="clear" w:color="auto" w:fill="FFFFFF"/>
        </w:rPr>
        <w:instrText>ADDIN CSL_CITATION {"citationItems":[{"id":"ITEM-1","itemData":{"DOI":"10.1136/thorax.57.3.192","ISSN":"00406376","PMID":"11867822","abstract":"### Nomenclature\n\nNon-invasive ventilation (NIV) refers to the provision of ventilatory support through the patient's upper airway using a mask or similar device. This technique is distinguished from those which bypass the upper airway with a tracheal tube, laryngeal mask, or tracheostomy and are therefore considered invasive. In this document NIV refers to non-invasive positive pressure ventilation, and other less commonly used techniques such as external negative pressure or rocking beds will not be discussed. (NIPPV is an alternative abbreviation but it is more cumbersome and involves ambiguity as to whether “N” is for “non-invasive” or “nasal”.)\n\nContinuous positive airway pressure (CPAP) in this document refers to the non-invasive application of positive airway pressure, again using a face or nasal mask rather than in conjunction with invasive techniques. Although it might be open to debate as to whether the use of non-invasive CPAP in acute respiratory failure constitutes ventilatory support, it is included in this document because of the confusion which commonly arises between NIV and CPAP in clinical practice.\n\n### Background\n\nOne of the first descriptions of the use of NIV using nasal masks was for the treatment of hypoventilation at night in patients with neuromuscular disease.1,2 This has proved to be so successful that it has become widely accepted as the standard method of non-invasive ventilation used in patients with chronic hypercapnic respiratory failure caused by chest wall deformity, neuromuscular disease, or impaired central respiratory drive. It has largely replaced other modalities such as external negative pressure ventilation and rocking beds.\n\nWithin a few years of its introduction, NIV was starting to be used in acute hypercapnic respiratory failure and in patients with abnormal lungs rather than an impaired respiratory pump. Initial anecdotal reports were followed by larger series and then by randomised trials. Analysis of these trials has shown …","author":[{"dropping-particle":"","family":"Baudouin","given":"S.","non-dropping-particle":"","parse-names":false,"suffix":""},{"dropping-particle":"","family":"Turner","given":"L.","non-dropping-particle":"","parse-names":false,"suffix":""},{"dropping-particle":"","family":"Blumenthal","given":"S.","non-dropping-particle":"","parse-names":false,"suffix":""},{"dropping-particle":"","family":"Cooper","given":"B.","non-dropping-particle":"","parse-names":false,"suffix":""},{"dropping-particle":"","family":"Davidson","given":"C.","non-dropping-particle":"","parse-names":false,"suffix":""},{"dropping-particle":"","family":"Davison","given":"A.","non-dropping-particle":"","parse-names":false,"suffix":""},{"dropping-particle":"","family":"Elliott","given":"M.","non-dropping-particle":"","parse-names":false,"suffix":""},{"dropping-particle":"","family":"Kinnear","given":"William","non-dropping-particle":"","parse-names":false,"suffix":""},{"dropping-particle":"","family":"Paton","given":"R.","non-dropping-particle":"","parse-names":false,"suffix":""},{"dropping-particle":"","family":"Sawicka","given":"E.","non-dropping-particle":"","parse-names":false,"suffix":""}],"container-title":"Thorax","id":"ITEM-1","issue":"3","issued":{"date-parts":[["2002","3","1"]]},"page":"192-211","publisher":"BMJ Publishing Group Ltd","title":"Non-invasive ventilation in acute respiratory failure: British thoracic society standards of care committee","type":"article","volume":"57"},"uris":["http://www.mendeley.com/documents/?uuid=7be8e642-bdff-32a7-9b1d-180bde35e458"]}],"mendeley":{"formattedCitation":"&lt;sup&gt;2&lt;/sup&gt;","plainTextFormattedCitation":"2"},"properties":{"noteIndex":0},"schema":"https://github.com/citation-style-language/schema/raw/master/csl-citation.json"}</w:instrText>
      </w:r>
      <w:r w:rsidR="00907B6F">
        <w:rPr>
          <w:rFonts w:eastAsia="Times New Roman" w:cs="Times New Roman"/>
          <w:color w:val="333333"/>
          <w:shd w:val="clear" w:color="auto" w:fill="FFFFFF"/>
        </w:rPr>
        <w:fldChar w:fldCharType="separate"/>
      </w:r>
      <w:r w:rsidR="00907B6F" w:rsidRPr="00907B6F">
        <w:rPr>
          <w:rFonts w:eastAsia="Times New Roman" w:cs="Times New Roman"/>
          <w:noProof/>
          <w:color w:val="333333"/>
          <w:shd w:val="clear" w:color="auto" w:fill="FFFFFF"/>
          <w:vertAlign w:val="superscript"/>
        </w:rPr>
        <w:t>2</w:t>
      </w:r>
      <w:r w:rsidR="00907B6F">
        <w:rPr>
          <w:rFonts w:eastAsia="Times New Roman" w:cs="Times New Roman"/>
          <w:color w:val="333333"/>
          <w:shd w:val="clear" w:color="auto" w:fill="FFFFFF"/>
        </w:rPr>
        <w:fldChar w:fldCharType="end"/>
      </w:r>
      <w:r w:rsidR="00DA71E9">
        <w:rPr>
          <w:rFonts w:eastAsia="Times New Roman" w:cs="Times New Roman"/>
          <w:color w:val="333333"/>
          <w:shd w:val="clear" w:color="auto" w:fill="FFFFFF"/>
        </w:rPr>
        <w:t>.</w:t>
      </w:r>
    </w:p>
    <w:p w14:paraId="40350008" w14:textId="04414AB8" w:rsidR="000C3969" w:rsidRDefault="007D2026" w:rsidP="008337A3">
      <w:r>
        <w:t xml:space="preserve">Baseline demographic data including age, sex, comorbidities, reason for admission to intensive care, pre admission observations, pre initiation arterial blood gas results will be recorded. </w:t>
      </w:r>
      <w:r w:rsidR="000C3969">
        <w:t>Respiratory obser</w:t>
      </w:r>
      <w:r w:rsidR="00A1017F">
        <w:t>vations will be recorded at 2</w:t>
      </w:r>
      <w:r w:rsidR="000C3969">
        <w:t>, 6, 12</w:t>
      </w:r>
      <w:r w:rsidR="00A1017F">
        <w:t xml:space="preserve"> hours</w:t>
      </w:r>
      <w:r w:rsidR="000C3969">
        <w:t xml:space="preserve">. </w:t>
      </w:r>
      <w:r>
        <w:t>Outcomes will be defined</w:t>
      </w:r>
      <w:r w:rsidR="000C3969">
        <w:t xml:space="preserve"> as failure of HFNT, demonstrated by either escalation to Non invasive ventilation, mechanical ventilation or death.</w:t>
      </w:r>
    </w:p>
    <w:p w14:paraId="1C346984" w14:textId="60CCF335" w:rsidR="006C7B55" w:rsidRPr="006C7B55" w:rsidRDefault="000C3969" w:rsidP="008337A3">
      <w:r>
        <w:t xml:space="preserve">For type 1 respiratory failure patients with subsequent arterial blood gases that demonstrate they have developed type 2 respiratory failure we will analyse them as members of the type 1 group throughout as this was the indication the HFNT was initially commenced for and </w:t>
      </w:r>
      <w:r w:rsidR="00A1017F">
        <w:t>developing type 2 failure</w:t>
      </w:r>
      <w:r>
        <w:t xml:space="preserve"> is likely to </w:t>
      </w:r>
      <w:r w:rsidR="00A1017F">
        <w:t xml:space="preserve">represent failure of HFNT as a therapy for this patient. </w:t>
      </w:r>
    </w:p>
    <w:p w14:paraId="12B23C8F" w14:textId="38447F73" w:rsidR="00A1017F" w:rsidRDefault="00FE1000" w:rsidP="00A1017F">
      <w:r w:rsidRPr="00FE1000">
        <w:t>Data will be held in Excel (Microsoft Excel) and analysed in R (R Core Team).</w:t>
      </w:r>
      <w:r w:rsidR="004F519D" w:rsidRPr="00FE1000">
        <w:t xml:space="preserve"> </w:t>
      </w:r>
      <w:r w:rsidR="00A1017F" w:rsidRPr="00FE1000">
        <w:t>We will compare baseline variables</w:t>
      </w:r>
      <w:r w:rsidR="00A1017F">
        <w:t xml:space="preserve"> between those admitted and treated with HFNT in Type 1 Respiratory failure and those admitted and treated for Type 2 respiratory failure. We will also compare baseline respiratory variables at 2, 6 and 12 hours.</w:t>
      </w:r>
    </w:p>
    <w:p w14:paraId="15B8BCBB" w14:textId="11789016" w:rsidR="004F519D" w:rsidRPr="00FE1000" w:rsidRDefault="00827DCC" w:rsidP="00FE1000">
      <w:r w:rsidRPr="00FE1000">
        <w:t>ROX Index validity will be</w:t>
      </w:r>
      <w:r w:rsidR="00255735" w:rsidRPr="00FE1000">
        <w:t xml:space="preserve"> assessed before the therapy (ROX0), at 2h (ROX2), at 6h (ROX6) and 12h (ROX12) </w:t>
      </w:r>
      <w:r w:rsidR="00A1017F">
        <w:t>two groups will be analysed those with type 1 and type 2 respiratory failure</w:t>
      </w:r>
      <w:r w:rsidR="00255735" w:rsidRPr="00FE1000">
        <w:t>,</w:t>
      </w:r>
      <w:r w:rsidR="00A1017F">
        <w:t xml:space="preserve"> this will then be subdivided into those successfully managed with HNFT and those who fail therapy, defined as escalation to Non invasive ventilation, mechanical ventilation or death. </w:t>
      </w:r>
      <w:r w:rsidRPr="00FE1000">
        <w:t xml:space="preserve"> </w:t>
      </w:r>
    </w:p>
    <w:p w14:paraId="54E49F14" w14:textId="36DA2CA1" w:rsidR="00A1017F" w:rsidRPr="00C16B13" w:rsidRDefault="00FE1000" w:rsidP="00935AAB">
      <w:pPr>
        <w:widowControl w:val="0"/>
        <w:autoSpaceDE w:val="0"/>
        <w:autoSpaceDN w:val="0"/>
        <w:adjustRightInd w:val="0"/>
        <w:spacing w:after="0"/>
        <w:rPr>
          <w:rFonts w:cs="Times New Roman"/>
          <w:lang w:val="en-US"/>
        </w:rPr>
      </w:pPr>
      <w:r>
        <w:rPr>
          <w:rFonts w:cs="Times New Roman"/>
          <w:lang w:val="en-US"/>
        </w:rPr>
        <w:t>Quantitative variables will be</w:t>
      </w:r>
      <w:r w:rsidRPr="00FE1000">
        <w:rPr>
          <w:rFonts w:cs="Times New Roman"/>
          <w:lang w:val="en-US"/>
        </w:rPr>
        <w:t xml:space="preserve"> expressed as median (interquartile range) </w:t>
      </w:r>
      <w:r>
        <w:rPr>
          <w:rFonts w:cs="Times New Roman"/>
          <w:lang w:val="en-US"/>
        </w:rPr>
        <w:t xml:space="preserve">and </w:t>
      </w:r>
      <w:r w:rsidRPr="00FE1000">
        <w:rPr>
          <w:rFonts w:cs="Times New Roman"/>
          <w:lang w:val="en-US"/>
        </w:rPr>
        <w:t xml:space="preserve">categorical variables </w:t>
      </w:r>
      <w:r>
        <w:rPr>
          <w:rFonts w:cs="Times New Roman"/>
          <w:lang w:val="en-US"/>
        </w:rPr>
        <w:t xml:space="preserve">will be </w:t>
      </w:r>
      <w:r w:rsidRPr="00FE1000">
        <w:rPr>
          <w:rFonts w:cs="Times New Roman"/>
          <w:lang w:val="en-US"/>
        </w:rPr>
        <w:t>expressed as frequency (percentage). Co</w:t>
      </w:r>
      <w:r w:rsidR="00426EEF">
        <w:rPr>
          <w:rFonts w:cs="Times New Roman"/>
          <w:lang w:val="en-US"/>
        </w:rPr>
        <w:t>ntinuous variables will be</w:t>
      </w:r>
      <w:r w:rsidRPr="00FE1000">
        <w:rPr>
          <w:rFonts w:cs="Times New Roman"/>
          <w:lang w:val="en-US"/>
        </w:rPr>
        <w:t xml:space="preserve"> compared using the Student t</w:t>
      </w:r>
      <w:r w:rsidR="00426EEF">
        <w:rPr>
          <w:rFonts w:cs="Times New Roman"/>
          <w:lang w:val="en-US"/>
        </w:rPr>
        <w:t xml:space="preserve"> test or U-Mann Whitney test</w:t>
      </w:r>
      <w:r w:rsidRPr="00FE1000">
        <w:rPr>
          <w:rFonts w:cs="Times New Roman"/>
          <w:lang w:val="en-US"/>
        </w:rPr>
        <w:t>. Differenc</w:t>
      </w:r>
      <w:r w:rsidR="00426EEF">
        <w:rPr>
          <w:rFonts w:cs="Times New Roman"/>
          <w:lang w:val="en-US"/>
        </w:rPr>
        <w:t>es in categorical variables will be</w:t>
      </w:r>
      <w:r w:rsidRPr="00FE1000">
        <w:rPr>
          <w:rFonts w:cs="Times New Roman"/>
          <w:lang w:val="en-US"/>
        </w:rPr>
        <w:t xml:space="preserve"> assessed</w:t>
      </w:r>
      <w:r w:rsidR="00426EEF">
        <w:rPr>
          <w:rFonts w:cs="Times New Roman"/>
          <w:lang w:val="en-US"/>
        </w:rPr>
        <w:t xml:space="preserve"> </w:t>
      </w:r>
      <w:r w:rsidRPr="00FE1000">
        <w:rPr>
          <w:rFonts w:cs="Times New Roman"/>
          <w:lang w:val="en-US"/>
        </w:rPr>
        <w:t xml:space="preserve">with </w:t>
      </w:r>
      <w:r w:rsidR="00426EEF">
        <w:rPr>
          <w:rFonts w:cs="Times New Roman"/>
          <w:lang w:val="en-US"/>
        </w:rPr>
        <w:t xml:space="preserve">Chi square or </w:t>
      </w:r>
      <w:r w:rsidR="00426EEF">
        <w:rPr>
          <w:rFonts w:cs="Times New Roman"/>
          <w:lang w:val="en-US"/>
        </w:rPr>
        <w:lastRenderedPageBreak/>
        <w:t>Fisher exact test</w:t>
      </w:r>
      <w:r w:rsidRPr="00FE1000">
        <w:rPr>
          <w:rFonts w:cs="Times New Roman"/>
          <w:lang w:val="en-US"/>
        </w:rPr>
        <w:t xml:space="preserve">. </w:t>
      </w:r>
    </w:p>
    <w:p w14:paraId="51C91CC3" w14:textId="58A1E091" w:rsidR="00935AAB" w:rsidRDefault="00935AAB" w:rsidP="00FE1000">
      <w:r>
        <w:t>Multiple imputation will be used to estimate data for missing fields and this will be used for the main analysis</w:t>
      </w:r>
      <w:r w:rsidR="00907B6F">
        <w:fldChar w:fldCharType="begin" w:fldLock="1"/>
      </w:r>
      <w:r w:rsidR="00907B6F">
        <w:instrText>ADDIN CSL_CITATION {"citationItems":[{"id":"ITEM-1","itemData":{"DOI":"10.1136/bmj.b2393","ISSN":"17561833","PMID":"19564179","abstract":"We are enthusiastic about the potential for multiple imputation and other methods 14 to improve the validity of medical research results and to reduce the waste of resources caused by missing data. The cost of multiple imputation analyses is small compared with the cost of collecting the data. It would be a pity if the avoidable pitfalls of multiple imputation slowed progress towards the wider use of these methods. It is no longer excusable for missing values and the reason they arose to be swept under the carpet, nor for potentially misleading and inefficient analyses of complete cases to be considered adequate. We hope that the pitfalls and guidelines discussed here will contribute to the appropriate use and reporting of methods to deal with missing data.","author":[{"dropping-particle":"","family":"Sterne","given":"Jonathan A.C.","non-dropping-particle":"","parse-names":false,"suffix":""},{"dropping-particle":"","family":"White","given":"Ian R.","non-dropping-particle":"","parse-names":false,"suffix":""},{"dropping-particle":"","family":"Carlin","given":"John B.","non-dropping-particle":"","parse-names":false,"suffix":""},{"dropping-particle":"","family":"Spratt","given":"Michael","non-dropping-particle":"","parse-names":false,"suffix":""},{"dropping-particle":"","family":"Royston","given":"Patrick","non-dropping-particle":"","parse-names":false,"suffix":""},{"dropping-particle":"","family":"Kenward","given":"Michael G.","non-dropping-particle":"","parse-names":false,"suffix":""},{"dropping-particle":"","family":"Wood","given":"Angela M.","non-dropping-particle":"","parse-names":false,"suffix":""},{"dropping-particle":"","family":"Carpenter","given":"James R.","non-dropping-particle":"","parse-names":false,"suffix":""}],"container-title":"BMJ (Online)","id":"ITEM-1","issue":"7713","issued":{"date-parts":[["2009","7","18"]]},"page":"157-160","publisher":"British Medical Journal Publishing Group","title":"Multiple imputation for missing data in epidemiological and clinical research: Potential and pitfalls","type":"article","volume":"339"},"uris":["http://www.mendeley.com/documents/?uuid=bf3a115d-087c-3365-a213-076717a8ccc4"]}],"mendeley":{"formattedCitation":"&lt;sup&gt;3&lt;/sup&gt;","plainTextFormattedCitation":"3","previouslyFormattedCitation":"&lt;sup&gt;3&lt;/sup&gt;"},"properties":{"noteIndex":0},"schema":"https://github.com/citation-style-language/schema/raw/master/csl-citation.json"}</w:instrText>
      </w:r>
      <w:r w:rsidR="00907B6F">
        <w:fldChar w:fldCharType="separate"/>
      </w:r>
      <w:r w:rsidR="00907B6F" w:rsidRPr="00907B6F">
        <w:rPr>
          <w:noProof/>
          <w:vertAlign w:val="superscript"/>
        </w:rPr>
        <w:t>3</w:t>
      </w:r>
      <w:r w:rsidR="00907B6F">
        <w:fldChar w:fldCharType="end"/>
      </w:r>
      <w:r>
        <w:t xml:space="preserve">. However, as we are seeking to demonstrate that there is no difference in the outcomes for HFNT applied to Type 1 and 2 respiratory failure an overly conservative model with excessive imputed data may miss significant differences. Given this we will additionally handle data missingness with a pairwise deletion strategy which will be valid if missing data is missing at random.  </w:t>
      </w:r>
    </w:p>
    <w:p w14:paraId="6889600B" w14:textId="5079F3E4" w:rsidR="00935AAB" w:rsidRDefault="009C79B6" w:rsidP="00FE1000">
      <w:r>
        <w:t xml:space="preserve"> We will compare the ability of a ROX score to predict the success or failure of H</w:t>
      </w:r>
      <w:r w:rsidR="00FE1000">
        <w:t>FNT in those with T1RF and T2RF by calculating AUROC values, we will use the previously validated cut off of 4.88</w:t>
      </w:r>
      <w:r w:rsidR="00935AAB">
        <w:t>.</w:t>
      </w:r>
    </w:p>
    <w:p w14:paraId="76BB65AC" w14:textId="28CFBE5F" w:rsidR="006C7B55" w:rsidRDefault="00FE1000" w:rsidP="00FE1000">
      <w:r>
        <w:t xml:space="preserve">We will undertake a </w:t>
      </w:r>
      <w:proofErr w:type="spellStart"/>
      <w:r w:rsidR="00E74C06">
        <w:t>uni</w:t>
      </w:r>
      <w:proofErr w:type="spellEnd"/>
      <w:r w:rsidR="00E74C06">
        <w:t xml:space="preserve">- and multivariate </w:t>
      </w:r>
      <w:r>
        <w:t xml:space="preserve">Cox regression to describe the </w:t>
      </w:r>
      <w:r w:rsidR="006C7B55">
        <w:t xml:space="preserve">HR </w:t>
      </w:r>
      <w:r>
        <w:t>of having an ROX &gt;4.88</w:t>
      </w:r>
      <w:r w:rsidR="006C7B55">
        <w:t xml:space="preserve"> t</w:t>
      </w:r>
      <w:r w:rsidR="00A1017F">
        <w:t>o treatment failure as defined above. W</w:t>
      </w:r>
      <w:r>
        <w:t xml:space="preserve">e will </w:t>
      </w:r>
      <w:r w:rsidR="006C7B55">
        <w:t xml:space="preserve">separate analysis by </w:t>
      </w:r>
      <w:r>
        <w:t xml:space="preserve">type of respiratory failure and </w:t>
      </w:r>
      <w:r w:rsidR="006C7B55">
        <w:t>in multivariate analysis includ</w:t>
      </w:r>
      <w:r w:rsidR="00A1017F">
        <w:t xml:space="preserve">e </w:t>
      </w:r>
      <w:r>
        <w:t>baseline demographics</w:t>
      </w:r>
      <w:r w:rsidR="006C7B55">
        <w:t xml:space="preserve"> </w:t>
      </w:r>
      <w:r w:rsidR="00E74C06">
        <w:t>s</w:t>
      </w:r>
      <w:r w:rsidR="006C7B55">
        <w:t>uch as</w:t>
      </w:r>
      <w:r w:rsidR="00A1017F">
        <w:t xml:space="preserve"> age, sex, comorbidities. </w:t>
      </w:r>
      <w:r w:rsidR="00F275AE">
        <w:t>We will also perform parametric testing on those that fail HFNT and demonstrate if there is a significant difference in the time to treatment failure between those with type 1 and type 2 respiratory failure.</w:t>
      </w:r>
    </w:p>
    <w:p w14:paraId="25B0BF91" w14:textId="44C6F9F5" w:rsidR="006C7B55" w:rsidRDefault="006C7B55" w:rsidP="00FE1000">
      <w:r>
        <w:t xml:space="preserve">We will then calculate the optimum cut off from our data set </w:t>
      </w:r>
      <w:r w:rsidR="00E74C06">
        <w:t xml:space="preserve">by AUROCs for ROX at different interval </w:t>
      </w:r>
      <w:r>
        <w:t xml:space="preserve">and </w:t>
      </w:r>
      <w:r w:rsidR="00E74C06">
        <w:t>then use these to repeat comparisons.</w:t>
      </w:r>
    </w:p>
    <w:p w14:paraId="6F5583A7" w14:textId="033A7B9F" w:rsidR="00827DCC" w:rsidRDefault="00FE1000" w:rsidP="00FE1000">
      <w:r>
        <w:t>Given the</w:t>
      </w:r>
      <w:r w:rsidR="000C3969">
        <w:t xml:space="preserve"> expected</w:t>
      </w:r>
      <w:r>
        <w:t xml:space="preserve"> low number of </w:t>
      </w:r>
      <w:r w:rsidR="000C3969">
        <w:t xml:space="preserve">type 2 respiratory failure </w:t>
      </w:r>
      <w:r>
        <w:t xml:space="preserve">patients </w:t>
      </w:r>
      <w:r w:rsidR="00E74C06">
        <w:t>and</w:t>
      </w:r>
      <w:r w:rsidR="000C3969">
        <w:t xml:space="preserve"> to</w:t>
      </w:r>
      <w:r w:rsidR="00E74C06">
        <w:t xml:space="preserve"> account for some patients who may develop both </w:t>
      </w:r>
      <w:r w:rsidR="000C3969">
        <w:t>type 1 and type 2 respiratory failure</w:t>
      </w:r>
      <w:r w:rsidR="00E74C06">
        <w:t xml:space="preserve"> during the same admission episode</w:t>
      </w:r>
      <w:r w:rsidR="000C3969">
        <w:t xml:space="preserve"> or </w:t>
      </w:r>
      <w:r w:rsidR="00E74C06">
        <w:t xml:space="preserve">progress from </w:t>
      </w:r>
      <w:r w:rsidR="000C3969">
        <w:t>type 1</w:t>
      </w:r>
      <w:r w:rsidR="00E74C06">
        <w:t xml:space="preserve"> to </w:t>
      </w:r>
      <w:r w:rsidR="000C3969">
        <w:t>type 2 respiratory failure</w:t>
      </w:r>
      <w:r w:rsidR="00E74C06">
        <w:t xml:space="preserve"> </w:t>
      </w:r>
      <w:r>
        <w:t xml:space="preserve">we will add a sensitivity analysis to the Cox multivariate regression to give context to our results. </w:t>
      </w:r>
    </w:p>
    <w:p w14:paraId="5150F175" w14:textId="77777777" w:rsidR="00426EEF" w:rsidRDefault="00426EEF" w:rsidP="00FE1000"/>
    <w:p w14:paraId="294BE395" w14:textId="7BA08021" w:rsidR="00426EEF" w:rsidRDefault="00426EEF" w:rsidP="00FE1000">
      <w:r>
        <w:t>Table 1. Baseline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E1000" w14:paraId="43CCDC35" w14:textId="77777777" w:rsidTr="00426EEF">
        <w:tc>
          <w:tcPr>
            <w:tcW w:w="3080" w:type="dxa"/>
            <w:tcBorders>
              <w:top w:val="single" w:sz="4" w:space="0" w:color="auto"/>
              <w:bottom w:val="single" w:sz="4" w:space="0" w:color="auto"/>
            </w:tcBorders>
          </w:tcPr>
          <w:p w14:paraId="013DEC4A" w14:textId="77777777" w:rsidR="00FE1000" w:rsidRDefault="00FE1000" w:rsidP="008A7ABB"/>
        </w:tc>
        <w:tc>
          <w:tcPr>
            <w:tcW w:w="3081" w:type="dxa"/>
            <w:tcBorders>
              <w:top w:val="single" w:sz="4" w:space="0" w:color="auto"/>
              <w:bottom w:val="single" w:sz="4" w:space="0" w:color="auto"/>
            </w:tcBorders>
          </w:tcPr>
          <w:p w14:paraId="3F9E7BA5" w14:textId="47A7532B" w:rsidR="00FE1000" w:rsidRPr="00426EEF" w:rsidRDefault="00FE1000" w:rsidP="008A7ABB">
            <w:pPr>
              <w:rPr>
                <w:b/>
              </w:rPr>
            </w:pPr>
            <w:r w:rsidRPr="00426EEF">
              <w:rPr>
                <w:b/>
              </w:rPr>
              <w:t xml:space="preserve">T1RF </w:t>
            </w:r>
          </w:p>
        </w:tc>
        <w:tc>
          <w:tcPr>
            <w:tcW w:w="3081" w:type="dxa"/>
            <w:tcBorders>
              <w:top w:val="single" w:sz="4" w:space="0" w:color="auto"/>
              <w:bottom w:val="single" w:sz="4" w:space="0" w:color="auto"/>
            </w:tcBorders>
          </w:tcPr>
          <w:p w14:paraId="3DFA3B97" w14:textId="792E7A1A" w:rsidR="00FE1000" w:rsidRPr="00426EEF" w:rsidRDefault="00FE1000" w:rsidP="008A7ABB">
            <w:pPr>
              <w:rPr>
                <w:b/>
              </w:rPr>
            </w:pPr>
            <w:r w:rsidRPr="00426EEF">
              <w:rPr>
                <w:b/>
              </w:rPr>
              <w:t>T2RF</w:t>
            </w:r>
          </w:p>
        </w:tc>
      </w:tr>
      <w:tr w:rsidR="00FE1000" w14:paraId="02CE489A" w14:textId="77777777" w:rsidTr="00426EEF">
        <w:tc>
          <w:tcPr>
            <w:tcW w:w="3080" w:type="dxa"/>
            <w:tcBorders>
              <w:top w:val="single" w:sz="4" w:space="0" w:color="auto"/>
            </w:tcBorders>
          </w:tcPr>
          <w:p w14:paraId="2528BA9E" w14:textId="070F1D5A" w:rsidR="00FE1000" w:rsidRDefault="00FE1000" w:rsidP="008A7ABB">
            <w:r>
              <w:t>Age</w:t>
            </w:r>
          </w:p>
        </w:tc>
        <w:tc>
          <w:tcPr>
            <w:tcW w:w="3081" w:type="dxa"/>
            <w:tcBorders>
              <w:top w:val="single" w:sz="4" w:space="0" w:color="auto"/>
            </w:tcBorders>
          </w:tcPr>
          <w:p w14:paraId="268BFF50" w14:textId="77777777" w:rsidR="00FE1000" w:rsidRDefault="00FE1000" w:rsidP="008A7ABB"/>
        </w:tc>
        <w:tc>
          <w:tcPr>
            <w:tcW w:w="3081" w:type="dxa"/>
            <w:tcBorders>
              <w:top w:val="single" w:sz="4" w:space="0" w:color="auto"/>
            </w:tcBorders>
          </w:tcPr>
          <w:p w14:paraId="63CE7794" w14:textId="77777777" w:rsidR="00FE1000" w:rsidRDefault="00FE1000" w:rsidP="008A7ABB"/>
        </w:tc>
      </w:tr>
      <w:tr w:rsidR="00FE1000" w14:paraId="261AD222" w14:textId="77777777" w:rsidTr="00426EEF">
        <w:tc>
          <w:tcPr>
            <w:tcW w:w="3080" w:type="dxa"/>
          </w:tcPr>
          <w:p w14:paraId="3EC3FBA2" w14:textId="69E5BA5E" w:rsidR="00FE1000" w:rsidRDefault="00FE1000" w:rsidP="008A7ABB">
            <w:r>
              <w:t>Gender</w:t>
            </w:r>
          </w:p>
        </w:tc>
        <w:tc>
          <w:tcPr>
            <w:tcW w:w="3081" w:type="dxa"/>
          </w:tcPr>
          <w:p w14:paraId="7F995ED3" w14:textId="77777777" w:rsidR="00FE1000" w:rsidRDefault="00FE1000" w:rsidP="008A7ABB"/>
        </w:tc>
        <w:tc>
          <w:tcPr>
            <w:tcW w:w="3081" w:type="dxa"/>
          </w:tcPr>
          <w:p w14:paraId="39D7C7DA" w14:textId="77777777" w:rsidR="00FE1000" w:rsidRDefault="00FE1000" w:rsidP="008A7ABB"/>
        </w:tc>
      </w:tr>
      <w:tr w:rsidR="00FE1000" w14:paraId="1D263353" w14:textId="77777777" w:rsidTr="00426EEF">
        <w:tc>
          <w:tcPr>
            <w:tcW w:w="3080" w:type="dxa"/>
          </w:tcPr>
          <w:p w14:paraId="6DFC3751" w14:textId="77466FFC" w:rsidR="00FE1000" w:rsidRDefault="00426EEF" w:rsidP="008A7ABB">
            <w:r>
              <w:t>Comorbidities</w:t>
            </w:r>
          </w:p>
        </w:tc>
        <w:tc>
          <w:tcPr>
            <w:tcW w:w="3081" w:type="dxa"/>
          </w:tcPr>
          <w:p w14:paraId="7FE31DE0" w14:textId="77777777" w:rsidR="00FE1000" w:rsidRDefault="00FE1000" w:rsidP="008A7ABB"/>
        </w:tc>
        <w:tc>
          <w:tcPr>
            <w:tcW w:w="3081" w:type="dxa"/>
          </w:tcPr>
          <w:p w14:paraId="46FE1987" w14:textId="77777777" w:rsidR="00FE1000" w:rsidRDefault="00FE1000" w:rsidP="008A7ABB"/>
        </w:tc>
      </w:tr>
      <w:tr w:rsidR="00FE1000" w14:paraId="67C06EB2" w14:textId="77777777" w:rsidTr="00426EEF">
        <w:tc>
          <w:tcPr>
            <w:tcW w:w="3080" w:type="dxa"/>
          </w:tcPr>
          <w:p w14:paraId="5D8BC47A" w14:textId="134547CA" w:rsidR="00FE1000" w:rsidRDefault="00426EEF" w:rsidP="008A7ABB">
            <w:r>
              <w:t>Apache score</w:t>
            </w:r>
          </w:p>
        </w:tc>
        <w:tc>
          <w:tcPr>
            <w:tcW w:w="3081" w:type="dxa"/>
          </w:tcPr>
          <w:p w14:paraId="55FD678B" w14:textId="77777777" w:rsidR="00FE1000" w:rsidRDefault="00FE1000" w:rsidP="008A7ABB"/>
        </w:tc>
        <w:tc>
          <w:tcPr>
            <w:tcW w:w="3081" w:type="dxa"/>
          </w:tcPr>
          <w:p w14:paraId="757A168F" w14:textId="77777777" w:rsidR="00FE1000" w:rsidRDefault="00FE1000" w:rsidP="008A7ABB"/>
        </w:tc>
      </w:tr>
      <w:tr w:rsidR="00FE1000" w14:paraId="64F9365C" w14:textId="77777777" w:rsidTr="00426EEF">
        <w:tc>
          <w:tcPr>
            <w:tcW w:w="3080" w:type="dxa"/>
          </w:tcPr>
          <w:p w14:paraId="056BE787" w14:textId="77777777" w:rsidR="00FE1000" w:rsidRDefault="00FE1000" w:rsidP="008A7ABB"/>
          <w:p w14:paraId="7586175E" w14:textId="77777777" w:rsidR="00426EEF" w:rsidRDefault="00426EEF" w:rsidP="008A7ABB"/>
          <w:p w14:paraId="343B5FF8" w14:textId="77777777" w:rsidR="00DA71E9" w:rsidRDefault="00DA71E9" w:rsidP="008A7ABB"/>
          <w:p w14:paraId="64DD7972" w14:textId="77777777" w:rsidR="00DA71E9" w:rsidRDefault="00DA71E9" w:rsidP="008A7ABB"/>
          <w:p w14:paraId="1F88E7C7" w14:textId="77777777" w:rsidR="00DA71E9" w:rsidRDefault="00DA71E9" w:rsidP="008A7ABB"/>
          <w:p w14:paraId="5C63A184" w14:textId="77777777" w:rsidR="00DA71E9" w:rsidRDefault="00DA71E9" w:rsidP="008A7ABB"/>
        </w:tc>
        <w:tc>
          <w:tcPr>
            <w:tcW w:w="3081" w:type="dxa"/>
          </w:tcPr>
          <w:p w14:paraId="753832A5" w14:textId="77777777" w:rsidR="00FE1000" w:rsidRDefault="00FE1000" w:rsidP="008A7ABB"/>
        </w:tc>
        <w:tc>
          <w:tcPr>
            <w:tcW w:w="3081" w:type="dxa"/>
          </w:tcPr>
          <w:p w14:paraId="07FBE126" w14:textId="77777777" w:rsidR="00FE1000" w:rsidRDefault="00FE1000" w:rsidP="008A7ABB"/>
        </w:tc>
      </w:tr>
    </w:tbl>
    <w:p w14:paraId="59FAAE8F" w14:textId="18F957C1" w:rsidR="00F14E1D" w:rsidRDefault="00426EEF" w:rsidP="008A7ABB">
      <w:r>
        <w:t>Tabl</w:t>
      </w:r>
      <w:r w:rsidR="00D941E7">
        <w:t>e 2. Respiratory Variables a 2</w:t>
      </w:r>
      <w:r>
        <w:t>,6</w:t>
      </w:r>
      <w:r w:rsidR="00D941E7">
        <w:t>,12</w:t>
      </w:r>
      <w:r>
        <w:t xml:space="preserve"> hours post initiation</w:t>
      </w: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1511"/>
        <w:gridCol w:w="1570"/>
        <w:gridCol w:w="723"/>
        <w:gridCol w:w="1515"/>
        <w:gridCol w:w="2677"/>
      </w:tblGrid>
      <w:tr w:rsidR="00426EEF" w14:paraId="63C80CB4" w14:textId="77777777" w:rsidTr="00426EEF">
        <w:tc>
          <w:tcPr>
            <w:tcW w:w="1276" w:type="dxa"/>
            <w:gridSpan w:val="2"/>
            <w:tcBorders>
              <w:top w:val="single" w:sz="4" w:space="0" w:color="auto"/>
              <w:bottom w:val="single" w:sz="4" w:space="0" w:color="auto"/>
            </w:tcBorders>
          </w:tcPr>
          <w:p w14:paraId="35386980" w14:textId="77777777" w:rsidR="00426EEF" w:rsidRDefault="00426EEF" w:rsidP="00426EEF"/>
        </w:tc>
        <w:tc>
          <w:tcPr>
            <w:tcW w:w="1843" w:type="dxa"/>
            <w:tcBorders>
              <w:top w:val="single" w:sz="4" w:space="0" w:color="auto"/>
              <w:bottom w:val="single" w:sz="4" w:space="0" w:color="auto"/>
            </w:tcBorders>
          </w:tcPr>
          <w:p w14:paraId="5B072BFA" w14:textId="7016C960" w:rsidR="00426EEF" w:rsidRDefault="00426EEF" w:rsidP="00426EEF"/>
        </w:tc>
        <w:tc>
          <w:tcPr>
            <w:tcW w:w="2693" w:type="dxa"/>
            <w:gridSpan w:val="2"/>
            <w:tcBorders>
              <w:top w:val="single" w:sz="4" w:space="0" w:color="auto"/>
              <w:bottom w:val="single" w:sz="4" w:space="0" w:color="auto"/>
            </w:tcBorders>
          </w:tcPr>
          <w:p w14:paraId="3D2EEC23" w14:textId="77777777" w:rsidR="00426EEF" w:rsidRPr="00426EEF" w:rsidRDefault="00426EEF" w:rsidP="00426EEF">
            <w:pPr>
              <w:rPr>
                <w:b/>
              </w:rPr>
            </w:pPr>
            <w:r w:rsidRPr="00426EEF">
              <w:rPr>
                <w:b/>
              </w:rPr>
              <w:t xml:space="preserve">T1RF </w:t>
            </w:r>
          </w:p>
        </w:tc>
        <w:tc>
          <w:tcPr>
            <w:tcW w:w="3260" w:type="dxa"/>
            <w:tcBorders>
              <w:top w:val="single" w:sz="4" w:space="0" w:color="auto"/>
              <w:bottom w:val="single" w:sz="4" w:space="0" w:color="auto"/>
            </w:tcBorders>
          </w:tcPr>
          <w:p w14:paraId="4C25DE25" w14:textId="77777777" w:rsidR="00426EEF" w:rsidRPr="00426EEF" w:rsidRDefault="00426EEF" w:rsidP="00426EEF">
            <w:pPr>
              <w:rPr>
                <w:b/>
              </w:rPr>
            </w:pPr>
            <w:r w:rsidRPr="00426EEF">
              <w:rPr>
                <w:b/>
              </w:rPr>
              <w:t>T2RF</w:t>
            </w:r>
          </w:p>
        </w:tc>
      </w:tr>
      <w:tr w:rsidR="00426EEF" w14:paraId="5E1F787D" w14:textId="77777777" w:rsidTr="00426EEF">
        <w:tc>
          <w:tcPr>
            <w:tcW w:w="1276" w:type="dxa"/>
            <w:gridSpan w:val="2"/>
            <w:tcBorders>
              <w:top w:val="single" w:sz="4" w:space="0" w:color="auto"/>
            </w:tcBorders>
          </w:tcPr>
          <w:p w14:paraId="7E20A43D" w14:textId="77777777" w:rsidR="00426EEF" w:rsidRDefault="00426EEF" w:rsidP="00426EEF"/>
        </w:tc>
        <w:tc>
          <w:tcPr>
            <w:tcW w:w="1843" w:type="dxa"/>
            <w:tcBorders>
              <w:top w:val="single" w:sz="4" w:space="0" w:color="auto"/>
            </w:tcBorders>
          </w:tcPr>
          <w:p w14:paraId="0C9C3860" w14:textId="503436A1" w:rsidR="00426EEF" w:rsidRDefault="00426EEF" w:rsidP="00426EEF">
            <w:r>
              <w:t xml:space="preserve">RR </w:t>
            </w:r>
          </w:p>
        </w:tc>
        <w:tc>
          <w:tcPr>
            <w:tcW w:w="2693" w:type="dxa"/>
            <w:gridSpan w:val="2"/>
            <w:tcBorders>
              <w:top w:val="single" w:sz="4" w:space="0" w:color="auto"/>
            </w:tcBorders>
          </w:tcPr>
          <w:p w14:paraId="602B6C53" w14:textId="77777777" w:rsidR="00426EEF" w:rsidRDefault="00426EEF" w:rsidP="00426EEF"/>
        </w:tc>
        <w:tc>
          <w:tcPr>
            <w:tcW w:w="3260" w:type="dxa"/>
            <w:tcBorders>
              <w:top w:val="single" w:sz="4" w:space="0" w:color="auto"/>
            </w:tcBorders>
          </w:tcPr>
          <w:p w14:paraId="7CE7A7DB" w14:textId="77777777" w:rsidR="00426EEF" w:rsidRDefault="00426EEF" w:rsidP="00426EEF"/>
        </w:tc>
      </w:tr>
      <w:tr w:rsidR="00426EEF" w14:paraId="71EA0B02" w14:textId="77777777" w:rsidTr="00426EEF">
        <w:tc>
          <w:tcPr>
            <w:tcW w:w="1276" w:type="dxa"/>
            <w:gridSpan w:val="2"/>
          </w:tcPr>
          <w:p w14:paraId="3649EF85" w14:textId="2DAA4235" w:rsidR="00426EEF" w:rsidRDefault="00426EEF" w:rsidP="00426EEF">
            <w:r>
              <w:t>2 Hours</w:t>
            </w:r>
          </w:p>
        </w:tc>
        <w:tc>
          <w:tcPr>
            <w:tcW w:w="1843" w:type="dxa"/>
          </w:tcPr>
          <w:p w14:paraId="785E3E08" w14:textId="4549ABA0" w:rsidR="00426EEF" w:rsidRDefault="00426EEF" w:rsidP="00426EEF">
            <w:r>
              <w:t>sO2</w:t>
            </w:r>
          </w:p>
        </w:tc>
        <w:tc>
          <w:tcPr>
            <w:tcW w:w="2693" w:type="dxa"/>
            <w:gridSpan w:val="2"/>
          </w:tcPr>
          <w:p w14:paraId="527EA4F4" w14:textId="77777777" w:rsidR="00426EEF" w:rsidRDefault="00426EEF" w:rsidP="00426EEF"/>
        </w:tc>
        <w:tc>
          <w:tcPr>
            <w:tcW w:w="3260" w:type="dxa"/>
          </w:tcPr>
          <w:p w14:paraId="5F8AFBC8" w14:textId="77777777" w:rsidR="00426EEF" w:rsidRDefault="00426EEF" w:rsidP="00426EEF"/>
        </w:tc>
      </w:tr>
      <w:tr w:rsidR="00426EEF" w14:paraId="566AE222" w14:textId="77777777" w:rsidTr="00426EEF">
        <w:tc>
          <w:tcPr>
            <w:tcW w:w="1276" w:type="dxa"/>
            <w:gridSpan w:val="2"/>
          </w:tcPr>
          <w:p w14:paraId="56E6A4D6" w14:textId="77777777" w:rsidR="00426EEF" w:rsidRDefault="00426EEF" w:rsidP="00426EEF"/>
        </w:tc>
        <w:tc>
          <w:tcPr>
            <w:tcW w:w="1843" w:type="dxa"/>
          </w:tcPr>
          <w:p w14:paraId="3AB54663" w14:textId="4D76855A" w:rsidR="00426EEF" w:rsidRDefault="00426EEF" w:rsidP="00426EEF">
            <w:r>
              <w:t>FiO2</w:t>
            </w:r>
          </w:p>
        </w:tc>
        <w:tc>
          <w:tcPr>
            <w:tcW w:w="2693" w:type="dxa"/>
            <w:gridSpan w:val="2"/>
          </w:tcPr>
          <w:p w14:paraId="575A04C7" w14:textId="77777777" w:rsidR="00426EEF" w:rsidRDefault="00426EEF" w:rsidP="00426EEF"/>
        </w:tc>
        <w:tc>
          <w:tcPr>
            <w:tcW w:w="3260" w:type="dxa"/>
          </w:tcPr>
          <w:p w14:paraId="337624B4" w14:textId="77777777" w:rsidR="00426EEF" w:rsidRDefault="00426EEF" w:rsidP="00426EEF"/>
        </w:tc>
      </w:tr>
      <w:tr w:rsidR="00426EEF" w14:paraId="7ACA9DC5" w14:textId="77777777" w:rsidTr="00426EEF">
        <w:tc>
          <w:tcPr>
            <w:tcW w:w="1276" w:type="dxa"/>
            <w:gridSpan w:val="2"/>
            <w:tcBorders>
              <w:bottom w:val="single" w:sz="4" w:space="0" w:color="auto"/>
            </w:tcBorders>
          </w:tcPr>
          <w:p w14:paraId="04EE5861" w14:textId="77777777" w:rsidR="00426EEF" w:rsidRDefault="00426EEF" w:rsidP="00426EEF"/>
        </w:tc>
        <w:tc>
          <w:tcPr>
            <w:tcW w:w="1843" w:type="dxa"/>
            <w:tcBorders>
              <w:bottom w:val="single" w:sz="4" w:space="0" w:color="auto"/>
            </w:tcBorders>
          </w:tcPr>
          <w:p w14:paraId="5D721CE6" w14:textId="694E8918" w:rsidR="00426EEF" w:rsidRDefault="00426EEF" w:rsidP="00426EEF">
            <w:r>
              <w:t>ROX</w:t>
            </w:r>
          </w:p>
        </w:tc>
        <w:tc>
          <w:tcPr>
            <w:tcW w:w="2693" w:type="dxa"/>
            <w:gridSpan w:val="2"/>
            <w:tcBorders>
              <w:bottom w:val="single" w:sz="4" w:space="0" w:color="auto"/>
            </w:tcBorders>
          </w:tcPr>
          <w:p w14:paraId="7DCB88A1" w14:textId="77777777" w:rsidR="00426EEF" w:rsidRDefault="00426EEF" w:rsidP="00426EEF"/>
        </w:tc>
        <w:tc>
          <w:tcPr>
            <w:tcW w:w="3260" w:type="dxa"/>
            <w:tcBorders>
              <w:bottom w:val="single" w:sz="4" w:space="0" w:color="auto"/>
            </w:tcBorders>
          </w:tcPr>
          <w:p w14:paraId="044589F8" w14:textId="77777777" w:rsidR="00426EEF" w:rsidRDefault="00426EEF" w:rsidP="00426EEF"/>
        </w:tc>
      </w:tr>
      <w:tr w:rsidR="00426EEF" w14:paraId="6B95763B" w14:textId="77777777" w:rsidTr="00426EEF">
        <w:tc>
          <w:tcPr>
            <w:tcW w:w="1276" w:type="dxa"/>
            <w:gridSpan w:val="2"/>
            <w:tcBorders>
              <w:top w:val="single" w:sz="4" w:space="0" w:color="auto"/>
            </w:tcBorders>
          </w:tcPr>
          <w:p w14:paraId="5E4C1BB0" w14:textId="77777777" w:rsidR="00426EEF" w:rsidRDefault="00426EEF" w:rsidP="00426EEF"/>
        </w:tc>
        <w:tc>
          <w:tcPr>
            <w:tcW w:w="1843" w:type="dxa"/>
            <w:tcBorders>
              <w:top w:val="single" w:sz="4" w:space="0" w:color="auto"/>
            </w:tcBorders>
          </w:tcPr>
          <w:p w14:paraId="28CF1D02" w14:textId="33D9885D" w:rsidR="00426EEF" w:rsidRDefault="00426EEF" w:rsidP="00426EEF">
            <w:r>
              <w:t xml:space="preserve">RR </w:t>
            </w:r>
          </w:p>
        </w:tc>
        <w:tc>
          <w:tcPr>
            <w:tcW w:w="2693" w:type="dxa"/>
            <w:gridSpan w:val="2"/>
            <w:tcBorders>
              <w:top w:val="single" w:sz="4" w:space="0" w:color="auto"/>
            </w:tcBorders>
          </w:tcPr>
          <w:p w14:paraId="2C98A90C" w14:textId="77777777" w:rsidR="00426EEF" w:rsidRDefault="00426EEF" w:rsidP="00426EEF"/>
        </w:tc>
        <w:tc>
          <w:tcPr>
            <w:tcW w:w="3260" w:type="dxa"/>
            <w:tcBorders>
              <w:top w:val="single" w:sz="4" w:space="0" w:color="auto"/>
            </w:tcBorders>
          </w:tcPr>
          <w:p w14:paraId="779A0A99" w14:textId="77777777" w:rsidR="00426EEF" w:rsidRDefault="00426EEF" w:rsidP="00426EEF"/>
        </w:tc>
      </w:tr>
      <w:tr w:rsidR="00426EEF" w14:paraId="00E9FC3A" w14:textId="77777777" w:rsidTr="00426EEF">
        <w:tc>
          <w:tcPr>
            <w:tcW w:w="1276" w:type="dxa"/>
            <w:gridSpan w:val="2"/>
          </w:tcPr>
          <w:p w14:paraId="305E8DEF" w14:textId="5C099BCA" w:rsidR="00426EEF" w:rsidRDefault="00D941E7" w:rsidP="00426EEF">
            <w:r>
              <w:t>6</w:t>
            </w:r>
            <w:r w:rsidR="00426EEF">
              <w:t xml:space="preserve"> Hours</w:t>
            </w:r>
          </w:p>
        </w:tc>
        <w:tc>
          <w:tcPr>
            <w:tcW w:w="1843" w:type="dxa"/>
          </w:tcPr>
          <w:p w14:paraId="3677CB63" w14:textId="3B51214A" w:rsidR="00426EEF" w:rsidRDefault="00426EEF" w:rsidP="00426EEF">
            <w:r>
              <w:t>sO2</w:t>
            </w:r>
          </w:p>
        </w:tc>
        <w:tc>
          <w:tcPr>
            <w:tcW w:w="2693" w:type="dxa"/>
            <w:gridSpan w:val="2"/>
          </w:tcPr>
          <w:p w14:paraId="2CC26C55" w14:textId="77777777" w:rsidR="00426EEF" w:rsidRDefault="00426EEF" w:rsidP="00426EEF"/>
        </w:tc>
        <w:tc>
          <w:tcPr>
            <w:tcW w:w="3260" w:type="dxa"/>
          </w:tcPr>
          <w:p w14:paraId="39C2CAC7" w14:textId="77777777" w:rsidR="00426EEF" w:rsidRDefault="00426EEF" w:rsidP="00426EEF"/>
        </w:tc>
      </w:tr>
      <w:tr w:rsidR="00426EEF" w14:paraId="2F2E51AE" w14:textId="77777777" w:rsidTr="00426EEF">
        <w:tc>
          <w:tcPr>
            <w:tcW w:w="1276" w:type="dxa"/>
            <w:gridSpan w:val="2"/>
          </w:tcPr>
          <w:p w14:paraId="5D480A05" w14:textId="77777777" w:rsidR="00426EEF" w:rsidRDefault="00426EEF" w:rsidP="00426EEF"/>
        </w:tc>
        <w:tc>
          <w:tcPr>
            <w:tcW w:w="1843" w:type="dxa"/>
          </w:tcPr>
          <w:p w14:paraId="2FB54BD7" w14:textId="3276F4FE" w:rsidR="00426EEF" w:rsidRDefault="00426EEF" w:rsidP="00426EEF">
            <w:r>
              <w:t>FiO2</w:t>
            </w:r>
          </w:p>
        </w:tc>
        <w:tc>
          <w:tcPr>
            <w:tcW w:w="2693" w:type="dxa"/>
            <w:gridSpan w:val="2"/>
          </w:tcPr>
          <w:p w14:paraId="592B51C4" w14:textId="77777777" w:rsidR="00426EEF" w:rsidRDefault="00426EEF" w:rsidP="00426EEF"/>
        </w:tc>
        <w:tc>
          <w:tcPr>
            <w:tcW w:w="3260" w:type="dxa"/>
          </w:tcPr>
          <w:p w14:paraId="6DECC429" w14:textId="77777777" w:rsidR="00426EEF" w:rsidRDefault="00426EEF" w:rsidP="00426EEF"/>
        </w:tc>
      </w:tr>
      <w:tr w:rsidR="00426EEF" w14:paraId="73066E99" w14:textId="77777777" w:rsidTr="00426EEF">
        <w:tc>
          <w:tcPr>
            <w:tcW w:w="1276" w:type="dxa"/>
            <w:gridSpan w:val="2"/>
          </w:tcPr>
          <w:p w14:paraId="7D24ED68" w14:textId="77777777" w:rsidR="00426EEF" w:rsidRDefault="00426EEF" w:rsidP="00426EEF"/>
        </w:tc>
        <w:tc>
          <w:tcPr>
            <w:tcW w:w="1843" w:type="dxa"/>
          </w:tcPr>
          <w:p w14:paraId="0CB4BC66" w14:textId="18A17756" w:rsidR="00426EEF" w:rsidRDefault="00426EEF" w:rsidP="00426EEF">
            <w:r>
              <w:t>ROX</w:t>
            </w:r>
          </w:p>
        </w:tc>
        <w:tc>
          <w:tcPr>
            <w:tcW w:w="2693" w:type="dxa"/>
            <w:gridSpan w:val="2"/>
          </w:tcPr>
          <w:p w14:paraId="0CAC5439" w14:textId="77777777" w:rsidR="00426EEF" w:rsidRDefault="00426EEF" w:rsidP="00426EEF"/>
        </w:tc>
        <w:tc>
          <w:tcPr>
            <w:tcW w:w="3260" w:type="dxa"/>
          </w:tcPr>
          <w:p w14:paraId="4A27C6E7" w14:textId="77777777" w:rsidR="00426EEF" w:rsidRDefault="00426EEF" w:rsidP="00426EEF"/>
        </w:tc>
      </w:tr>
      <w:tr w:rsidR="00426EEF" w14:paraId="66C2C235" w14:textId="77777777" w:rsidTr="00426EEF">
        <w:tc>
          <w:tcPr>
            <w:tcW w:w="1276" w:type="dxa"/>
          </w:tcPr>
          <w:p w14:paraId="7F0CEB42" w14:textId="2C37CAD7" w:rsidR="00426EEF" w:rsidRDefault="00426EEF" w:rsidP="00426EEF"/>
        </w:tc>
        <w:tc>
          <w:tcPr>
            <w:tcW w:w="1843" w:type="dxa"/>
          </w:tcPr>
          <w:p w14:paraId="4A1394FD" w14:textId="46C141FA" w:rsidR="00426EEF" w:rsidRDefault="00426EEF" w:rsidP="00426EEF"/>
        </w:tc>
        <w:tc>
          <w:tcPr>
            <w:tcW w:w="2693" w:type="dxa"/>
            <w:gridSpan w:val="2"/>
          </w:tcPr>
          <w:p w14:paraId="6C4782A7" w14:textId="77777777" w:rsidR="00426EEF" w:rsidRDefault="00426EEF" w:rsidP="00426EEF"/>
        </w:tc>
        <w:tc>
          <w:tcPr>
            <w:tcW w:w="3260" w:type="dxa"/>
            <w:gridSpan w:val="2"/>
          </w:tcPr>
          <w:p w14:paraId="0E6C2B38" w14:textId="77777777" w:rsidR="00426EEF" w:rsidRDefault="00426EEF" w:rsidP="00426EEF"/>
        </w:tc>
      </w:tr>
    </w:tbl>
    <w:p w14:paraId="01079745" w14:textId="67FF7838" w:rsidR="00F14E1D" w:rsidRDefault="00D941E7" w:rsidP="008A7ABB">
      <w:r>
        <w:rPr>
          <w:noProof/>
          <w:lang w:val="en-US"/>
        </w:rPr>
        <w:drawing>
          <wp:anchor distT="0" distB="0" distL="114300" distR="114300" simplePos="0" relativeHeight="251658240" behindDoc="0" locked="0" layoutInCell="1" allowOverlap="1" wp14:anchorId="20264A4C" wp14:editId="49B28590">
            <wp:simplePos x="0" y="0"/>
            <wp:positionH relativeFrom="column">
              <wp:posOffset>2857500</wp:posOffset>
            </wp:positionH>
            <wp:positionV relativeFrom="paragraph">
              <wp:posOffset>544195</wp:posOffset>
            </wp:positionV>
            <wp:extent cx="2514600" cy="2137410"/>
            <wp:effectExtent l="0" t="0" r="0" b="0"/>
            <wp:wrapTopAndBottom/>
            <wp:docPr id="1" name="Picture 1" descr="Macintosh HD:private:var:folders:fy:l8p7znd54s9bp5_njt4pvv_m0000gn:T:TemporaryItems:Screenshot 2020-06-19 at 20.54.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fy:l8p7znd54s9bp5_njt4pvv_m0000gn:T:TemporaryItems:Screenshot 2020-06-19 at 20.54.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6224E4D" wp14:editId="674B6B57">
            <wp:simplePos x="0" y="0"/>
            <wp:positionH relativeFrom="column">
              <wp:posOffset>114300</wp:posOffset>
            </wp:positionH>
            <wp:positionV relativeFrom="paragraph">
              <wp:posOffset>544195</wp:posOffset>
            </wp:positionV>
            <wp:extent cx="2514600" cy="2082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208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786">
        <w:t>Figure 1. Receiver Operated Curve</w:t>
      </w:r>
      <w:r>
        <w:t>s</w:t>
      </w:r>
      <w:r w:rsidR="00A36786">
        <w:t xml:space="preserve"> for ROX</w:t>
      </w:r>
      <w:r>
        <w:t xml:space="preserve"> index</w:t>
      </w:r>
      <w:r w:rsidR="00A36786">
        <w:t xml:space="preserve"> </w:t>
      </w:r>
      <w:r>
        <w:t xml:space="preserve">and </w:t>
      </w:r>
      <w:r w:rsidR="00A36786">
        <w:t>outcome in HFNT of T1RF and T2RF</w:t>
      </w:r>
    </w:p>
    <w:p w14:paraId="0AAF668E" w14:textId="6A349B01" w:rsidR="00F14E1D" w:rsidRDefault="00F14E1D" w:rsidP="00F14E1D"/>
    <w:p w14:paraId="05FDFFED" w14:textId="53E72EB3" w:rsidR="00F14E1D" w:rsidRPr="005E159D" w:rsidRDefault="008337A3" w:rsidP="00F14E1D">
      <w:r>
        <w:t>Bibliography</w:t>
      </w:r>
    </w:p>
    <w:p w14:paraId="1FC7C25B" w14:textId="0E474832" w:rsidR="00907B6F" w:rsidRPr="00907B6F" w:rsidRDefault="008337A3" w:rsidP="00907B6F">
      <w:pPr>
        <w:widowControl w:val="0"/>
        <w:autoSpaceDE w:val="0"/>
        <w:autoSpaceDN w:val="0"/>
        <w:adjustRightInd w:val="0"/>
        <w:spacing w:before="200" w:after="0"/>
        <w:ind w:left="640" w:hanging="640"/>
        <w:rPr>
          <w:rFonts w:ascii="Cambria" w:hAnsi="Cambria"/>
          <w:noProof/>
          <w:szCs w:val="24"/>
          <w:lang w:val="en-US"/>
        </w:rPr>
      </w:pPr>
      <w:r>
        <w:fldChar w:fldCharType="begin" w:fldLock="1"/>
      </w:r>
      <w:r>
        <w:instrText xml:space="preserve">ADDIN Mendeley Bibliography CSL_BIBLIOGRAPHY </w:instrText>
      </w:r>
      <w:r>
        <w:fldChar w:fldCharType="separate"/>
      </w:r>
      <w:r w:rsidR="00907B6F" w:rsidRPr="00907B6F">
        <w:rPr>
          <w:rFonts w:ascii="Cambria" w:hAnsi="Cambria"/>
          <w:noProof/>
          <w:szCs w:val="24"/>
          <w:lang w:val="en-US"/>
        </w:rPr>
        <w:t xml:space="preserve">1. </w:t>
      </w:r>
      <w:r w:rsidR="00907B6F" w:rsidRPr="00907B6F">
        <w:rPr>
          <w:rFonts w:ascii="Cambria" w:hAnsi="Cambria"/>
          <w:noProof/>
          <w:szCs w:val="24"/>
          <w:lang w:val="en-US"/>
        </w:rPr>
        <w:tab/>
        <w:t xml:space="preserve">Roca O, Caralt B, Messika J, et al. An index combining respiratory rate and oxygenation to predict outcome of nasal high-flow therapy. </w:t>
      </w:r>
      <w:r w:rsidR="00907B6F" w:rsidRPr="00907B6F">
        <w:rPr>
          <w:rFonts w:ascii="Cambria" w:hAnsi="Cambria"/>
          <w:i/>
          <w:iCs/>
          <w:noProof/>
          <w:szCs w:val="24"/>
          <w:lang w:val="en-US"/>
        </w:rPr>
        <w:t>Am J Respir Crit Care Med</w:t>
      </w:r>
      <w:r w:rsidR="00907B6F" w:rsidRPr="00907B6F">
        <w:rPr>
          <w:rFonts w:ascii="Cambria" w:hAnsi="Cambria"/>
          <w:noProof/>
          <w:szCs w:val="24"/>
          <w:lang w:val="en-US"/>
        </w:rPr>
        <w:t xml:space="preserve"> [Internet] American Thoracic Society; 2019 [cited 2020 Jul 2]; </w:t>
      </w:r>
      <w:r w:rsidR="00907B6F" w:rsidRPr="00907B6F">
        <w:rPr>
          <w:rFonts w:ascii="Cambria" w:hAnsi="Cambria"/>
          <w:b/>
          <w:bCs/>
          <w:noProof/>
          <w:szCs w:val="24"/>
          <w:lang w:val="en-US"/>
        </w:rPr>
        <w:t>199</w:t>
      </w:r>
      <w:r w:rsidR="00907B6F" w:rsidRPr="00907B6F">
        <w:rPr>
          <w:rFonts w:ascii="Cambria" w:hAnsi="Cambria"/>
          <w:noProof/>
          <w:szCs w:val="24"/>
          <w:lang w:val="en-US"/>
        </w:rPr>
        <w:t>: 1368–76 Available from: https://www.atsjournals.org/doi/10.1164/rccm.201803-0589OC</w:t>
      </w:r>
    </w:p>
    <w:p w14:paraId="4D77D421" w14:textId="77777777" w:rsidR="00907B6F" w:rsidRPr="00907B6F" w:rsidRDefault="00907B6F" w:rsidP="00907B6F">
      <w:pPr>
        <w:widowControl w:val="0"/>
        <w:autoSpaceDE w:val="0"/>
        <w:autoSpaceDN w:val="0"/>
        <w:adjustRightInd w:val="0"/>
        <w:spacing w:before="200" w:after="0"/>
        <w:ind w:left="640" w:hanging="640"/>
        <w:rPr>
          <w:rFonts w:ascii="Cambria" w:hAnsi="Cambria"/>
          <w:noProof/>
          <w:szCs w:val="24"/>
          <w:lang w:val="en-US"/>
        </w:rPr>
      </w:pPr>
      <w:r w:rsidRPr="00907B6F">
        <w:rPr>
          <w:rFonts w:ascii="Cambria" w:hAnsi="Cambria"/>
          <w:noProof/>
          <w:szCs w:val="24"/>
          <w:lang w:val="en-US"/>
        </w:rPr>
        <w:t xml:space="preserve">2. </w:t>
      </w:r>
      <w:r w:rsidRPr="00907B6F">
        <w:rPr>
          <w:rFonts w:ascii="Cambria" w:hAnsi="Cambria"/>
          <w:noProof/>
          <w:szCs w:val="24"/>
          <w:lang w:val="en-US"/>
        </w:rPr>
        <w:tab/>
        <w:t>Baudouin S, Turner L, Blumenthal S, et al. Non-invasive ventilation in acute respiratory failure: British thoracic society standards of care committee [Internet]. Thorax. BMJ Publishing Group Ltd; 2002 [cited 2020 Jun 27]. p. 192–211 Available from: https://thorax.bmj.com/content/57/3/192</w:t>
      </w:r>
    </w:p>
    <w:p w14:paraId="0911E33D" w14:textId="77777777" w:rsidR="00907B6F" w:rsidRPr="00907B6F" w:rsidRDefault="00907B6F" w:rsidP="00907B6F">
      <w:pPr>
        <w:widowControl w:val="0"/>
        <w:autoSpaceDE w:val="0"/>
        <w:autoSpaceDN w:val="0"/>
        <w:adjustRightInd w:val="0"/>
        <w:spacing w:before="200" w:after="0"/>
        <w:ind w:left="640" w:hanging="640"/>
        <w:rPr>
          <w:rFonts w:ascii="Cambria" w:hAnsi="Cambria"/>
          <w:noProof/>
        </w:rPr>
      </w:pPr>
      <w:r w:rsidRPr="00907B6F">
        <w:rPr>
          <w:rFonts w:ascii="Cambria" w:hAnsi="Cambria"/>
          <w:noProof/>
          <w:szCs w:val="24"/>
          <w:lang w:val="en-US"/>
        </w:rPr>
        <w:lastRenderedPageBreak/>
        <w:t xml:space="preserve">3. </w:t>
      </w:r>
      <w:r w:rsidRPr="00907B6F">
        <w:rPr>
          <w:rFonts w:ascii="Cambria" w:hAnsi="Cambria"/>
          <w:noProof/>
          <w:szCs w:val="24"/>
          <w:lang w:val="en-US"/>
        </w:rPr>
        <w:tab/>
        <w:t>Sterne JAC, White IR, Carlin JB, et al. Multiple imputation for missing data in epidemiological and clinical research: Potential and pitfalls [Internet]. BMJ. British Medical Journal Publishing Group; 2009 [cited 2020 Jun 27]. p. 157–60 Available from: https://www.bmj.com/content/338/bmj.b2393</w:t>
      </w:r>
    </w:p>
    <w:p w14:paraId="35DC16EF" w14:textId="25846710" w:rsidR="00907B6F" w:rsidRDefault="008337A3" w:rsidP="00B909B1">
      <w:pPr>
        <w:widowControl w:val="0"/>
        <w:autoSpaceDE w:val="0"/>
        <w:autoSpaceDN w:val="0"/>
        <w:adjustRightInd w:val="0"/>
        <w:spacing w:before="200" w:after="0"/>
        <w:ind w:left="640" w:hanging="640"/>
      </w:pPr>
      <w:r>
        <w:fldChar w:fldCharType="end"/>
      </w:r>
    </w:p>
    <w:p w14:paraId="1B42D416" w14:textId="77777777" w:rsidR="00F14E1D" w:rsidRDefault="00F14E1D" w:rsidP="008A7ABB"/>
    <w:sectPr w:rsidR="00F14E1D">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8C445" w14:textId="77777777" w:rsidR="000C0D6E" w:rsidRDefault="000C0D6E" w:rsidP="008A7ABB">
      <w:r>
        <w:separator/>
      </w:r>
    </w:p>
  </w:endnote>
  <w:endnote w:type="continuationSeparator" w:id="0">
    <w:p w14:paraId="3FC00D3E" w14:textId="77777777" w:rsidR="000C0D6E" w:rsidRDefault="000C0D6E" w:rsidP="008A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1D5FC" w14:textId="77777777" w:rsidR="000C0D6E" w:rsidRDefault="000C0D6E" w:rsidP="008A7ABB">
      <w:r>
        <w:separator/>
      </w:r>
    </w:p>
  </w:footnote>
  <w:footnote w:type="continuationSeparator" w:id="0">
    <w:p w14:paraId="4E8C9DDC" w14:textId="77777777" w:rsidR="000C0D6E" w:rsidRDefault="000C0D6E" w:rsidP="008A7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F24EA"/>
    <w:multiLevelType w:val="hybridMultilevel"/>
    <w:tmpl w:val="DCE6F004"/>
    <w:lvl w:ilvl="0" w:tplc="82B2761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E149D0"/>
    <w:multiLevelType w:val="hybridMultilevel"/>
    <w:tmpl w:val="E544F844"/>
    <w:lvl w:ilvl="0" w:tplc="DCD4347C">
      <w:start w:val="1"/>
      <w:numFmt w:val="bullet"/>
      <w:lvlText w:val="-"/>
      <w:lvlJc w:val="left"/>
      <w:pPr>
        <w:tabs>
          <w:tab w:val="num" w:pos="720"/>
        </w:tabs>
        <w:ind w:left="720" w:hanging="360"/>
      </w:pPr>
      <w:rPr>
        <w:rFonts w:ascii="Times New Roman" w:hAnsi="Times New Roman" w:hint="default"/>
      </w:rPr>
    </w:lvl>
    <w:lvl w:ilvl="1" w:tplc="FD52CE60" w:tentative="1">
      <w:start w:val="1"/>
      <w:numFmt w:val="bullet"/>
      <w:lvlText w:val="-"/>
      <w:lvlJc w:val="left"/>
      <w:pPr>
        <w:tabs>
          <w:tab w:val="num" w:pos="1440"/>
        </w:tabs>
        <w:ind w:left="1440" w:hanging="360"/>
      </w:pPr>
      <w:rPr>
        <w:rFonts w:ascii="Times New Roman" w:hAnsi="Times New Roman" w:hint="default"/>
      </w:rPr>
    </w:lvl>
    <w:lvl w:ilvl="2" w:tplc="E3A2620A" w:tentative="1">
      <w:start w:val="1"/>
      <w:numFmt w:val="bullet"/>
      <w:lvlText w:val="-"/>
      <w:lvlJc w:val="left"/>
      <w:pPr>
        <w:tabs>
          <w:tab w:val="num" w:pos="2160"/>
        </w:tabs>
        <w:ind w:left="2160" w:hanging="360"/>
      </w:pPr>
      <w:rPr>
        <w:rFonts w:ascii="Times New Roman" w:hAnsi="Times New Roman" w:hint="default"/>
      </w:rPr>
    </w:lvl>
    <w:lvl w:ilvl="3" w:tplc="7BCA8A2C" w:tentative="1">
      <w:start w:val="1"/>
      <w:numFmt w:val="bullet"/>
      <w:lvlText w:val="-"/>
      <w:lvlJc w:val="left"/>
      <w:pPr>
        <w:tabs>
          <w:tab w:val="num" w:pos="2880"/>
        </w:tabs>
        <w:ind w:left="2880" w:hanging="360"/>
      </w:pPr>
      <w:rPr>
        <w:rFonts w:ascii="Times New Roman" w:hAnsi="Times New Roman" w:hint="default"/>
      </w:rPr>
    </w:lvl>
    <w:lvl w:ilvl="4" w:tplc="4260D7B6" w:tentative="1">
      <w:start w:val="1"/>
      <w:numFmt w:val="bullet"/>
      <w:lvlText w:val="-"/>
      <w:lvlJc w:val="left"/>
      <w:pPr>
        <w:tabs>
          <w:tab w:val="num" w:pos="3600"/>
        </w:tabs>
        <w:ind w:left="3600" w:hanging="360"/>
      </w:pPr>
      <w:rPr>
        <w:rFonts w:ascii="Times New Roman" w:hAnsi="Times New Roman" w:hint="default"/>
      </w:rPr>
    </w:lvl>
    <w:lvl w:ilvl="5" w:tplc="033A37D0" w:tentative="1">
      <w:start w:val="1"/>
      <w:numFmt w:val="bullet"/>
      <w:lvlText w:val="-"/>
      <w:lvlJc w:val="left"/>
      <w:pPr>
        <w:tabs>
          <w:tab w:val="num" w:pos="4320"/>
        </w:tabs>
        <w:ind w:left="4320" w:hanging="360"/>
      </w:pPr>
      <w:rPr>
        <w:rFonts w:ascii="Times New Roman" w:hAnsi="Times New Roman" w:hint="default"/>
      </w:rPr>
    </w:lvl>
    <w:lvl w:ilvl="6" w:tplc="7DBE62F0" w:tentative="1">
      <w:start w:val="1"/>
      <w:numFmt w:val="bullet"/>
      <w:lvlText w:val="-"/>
      <w:lvlJc w:val="left"/>
      <w:pPr>
        <w:tabs>
          <w:tab w:val="num" w:pos="5040"/>
        </w:tabs>
        <w:ind w:left="5040" w:hanging="360"/>
      </w:pPr>
      <w:rPr>
        <w:rFonts w:ascii="Times New Roman" w:hAnsi="Times New Roman" w:hint="default"/>
      </w:rPr>
    </w:lvl>
    <w:lvl w:ilvl="7" w:tplc="26144954" w:tentative="1">
      <w:start w:val="1"/>
      <w:numFmt w:val="bullet"/>
      <w:lvlText w:val="-"/>
      <w:lvlJc w:val="left"/>
      <w:pPr>
        <w:tabs>
          <w:tab w:val="num" w:pos="5760"/>
        </w:tabs>
        <w:ind w:left="5760" w:hanging="360"/>
      </w:pPr>
      <w:rPr>
        <w:rFonts w:ascii="Times New Roman" w:hAnsi="Times New Roman" w:hint="default"/>
      </w:rPr>
    </w:lvl>
    <w:lvl w:ilvl="8" w:tplc="97A404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DA44E86"/>
    <w:multiLevelType w:val="hybridMultilevel"/>
    <w:tmpl w:val="5546B85A"/>
    <w:lvl w:ilvl="0" w:tplc="FC32A99E">
      <w:start w:val="1"/>
      <w:numFmt w:val="bullet"/>
      <w:lvlText w:val=""/>
      <w:lvlJc w:val="left"/>
      <w:pPr>
        <w:tabs>
          <w:tab w:val="num" w:pos="720"/>
        </w:tabs>
        <w:ind w:left="720" w:hanging="360"/>
      </w:pPr>
      <w:rPr>
        <w:rFonts w:ascii="Wingdings" w:hAnsi="Wingdings" w:hint="default"/>
      </w:rPr>
    </w:lvl>
    <w:lvl w:ilvl="1" w:tplc="98BAC1A0" w:tentative="1">
      <w:start w:val="1"/>
      <w:numFmt w:val="bullet"/>
      <w:lvlText w:val=""/>
      <w:lvlJc w:val="left"/>
      <w:pPr>
        <w:tabs>
          <w:tab w:val="num" w:pos="1440"/>
        </w:tabs>
        <w:ind w:left="1440" w:hanging="360"/>
      </w:pPr>
      <w:rPr>
        <w:rFonts w:ascii="Wingdings" w:hAnsi="Wingdings" w:hint="default"/>
      </w:rPr>
    </w:lvl>
    <w:lvl w:ilvl="2" w:tplc="9A961798" w:tentative="1">
      <w:start w:val="1"/>
      <w:numFmt w:val="bullet"/>
      <w:lvlText w:val=""/>
      <w:lvlJc w:val="left"/>
      <w:pPr>
        <w:tabs>
          <w:tab w:val="num" w:pos="2160"/>
        </w:tabs>
        <w:ind w:left="2160" w:hanging="360"/>
      </w:pPr>
      <w:rPr>
        <w:rFonts w:ascii="Wingdings" w:hAnsi="Wingdings" w:hint="default"/>
      </w:rPr>
    </w:lvl>
    <w:lvl w:ilvl="3" w:tplc="65C46740" w:tentative="1">
      <w:start w:val="1"/>
      <w:numFmt w:val="bullet"/>
      <w:lvlText w:val=""/>
      <w:lvlJc w:val="left"/>
      <w:pPr>
        <w:tabs>
          <w:tab w:val="num" w:pos="2880"/>
        </w:tabs>
        <w:ind w:left="2880" w:hanging="360"/>
      </w:pPr>
      <w:rPr>
        <w:rFonts w:ascii="Wingdings" w:hAnsi="Wingdings" w:hint="default"/>
      </w:rPr>
    </w:lvl>
    <w:lvl w:ilvl="4" w:tplc="932808CA" w:tentative="1">
      <w:start w:val="1"/>
      <w:numFmt w:val="bullet"/>
      <w:lvlText w:val=""/>
      <w:lvlJc w:val="left"/>
      <w:pPr>
        <w:tabs>
          <w:tab w:val="num" w:pos="3600"/>
        </w:tabs>
        <w:ind w:left="3600" w:hanging="360"/>
      </w:pPr>
      <w:rPr>
        <w:rFonts w:ascii="Wingdings" w:hAnsi="Wingdings" w:hint="default"/>
      </w:rPr>
    </w:lvl>
    <w:lvl w:ilvl="5" w:tplc="83389E2C" w:tentative="1">
      <w:start w:val="1"/>
      <w:numFmt w:val="bullet"/>
      <w:lvlText w:val=""/>
      <w:lvlJc w:val="left"/>
      <w:pPr>
        <w:tabs>
          <w:tab w:val="num" w:pos="4320"/>
        </w:tabs>
        <w:ind w:left="4320" w:hanging="360"/>
      </w:pPr>
      <w:rPr>
        <w:rFonts w:ascii="Wingdings" w:hAnsi="Wingdings" w:hint="default"/>
      </w:rPr>
    </w:lvl>
    <w:lvl w:ilvl="6" w:tplc="A15264BE" w:tentative="1">
      <w:start w:val="1"/>
      <w:numFmt w:val="bullet"/>
      <w:lvlText w:val=""/>
      <w:lvlJc w:val="left"/>
      <w:pPr>
        <w:tabs>
          <w:tab w:val="num" w:pos="5040"/>
        </w:tabs>
        <w:ind w:left="5040" w:hanging="360"/>
      </w:pPr>
      <w:rPr>
        <w:rFonts w:ascii="Wingdings" w:hAnsi="Wingdings" w:hint="default"/>
      </w:rPr>
    </w:lvl>
    <w:lvl w:ilvl="7" w:tplc="22964DAA" w:tentative="1">
      <w:start w:val="1"/>
      <w:numFmt w:val="bullet"/>
      <w:lvlText w:val=""/>
      <w:lvlJc w:val="left"/>
      <w:pPr>
        <w:tabs>
          <w:tab w:val="num" w:pos="5760"/>
        </w:tabs>
        <w:ind w:left="5760" w:hanging="360"/>
      </w:pPr>
      <w:rPr>
        <w:rFonts w:ascii="Wingdings" w:hAnsi="Wingdings" w:hint="default"/>
      </w:rPr>
    </w:lvl>
    <w:lvl w:ilvl="8" w:tplc="0A5CAB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304446"/>
    <w:multiLevelType w:val="hybridMultilevel"/>
    <w:tmpl w:val="97C27486"/>
    <w:lvl w:ilvl="0" w:tplc="BAD07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699"/>
    <w:rsid w:val="00026A56"/>
    <w:rsid w:val="000456B6"/>
    <w:rsid w:val="00092726"/>
    <w:rsid w:val="000C0D6E"/>
    <w:rsid w:val="000C3969"/>
    <w:rsid w:val="000D5AA5"/>
    <w:rsid w:val="0011142D"/>
    <w:rsid w:val="001227ED"/>
    <w:rsid w:val="00162F8C"/>
    <w:rsid w:val="00182AD8"/>
    <w:rsid w:val="001B0069"/>
    <w:rsid w:val="001F504F"/>
    <w:rsid w:val="00210E45"/>
    <w:rsid w:val="00212ACB"/>
    <w:rsid w:val="00214AE1"/>
    <w:rsid w:val="0023733E"/>
    <w:rsid w:val="00255735"/>
    <w:rsid w:val="00261853"/>
    <w:rsid w:val="002910A4"/>
    <w:rsid w:val="002C55B7"/>
    <w:rsid w:val="002F3B62"/>
    <w:rsid w:val="00362911"/>
    <w:rsid w:val="00362AF0"/>
    <w:rsid w:val="00384799"/>
    <w:rsid w:val="003C2D1F"/>
    <w:rsid w:val="003C799A"/>
    <w:rsid w:val="003D1AF6"/>
    <w:rsid w:val="00426EEF"/>
    <w:rsid w:val="00427EC6"/>
    <w:rsid w:val="004648C5"/>
    <w:rsid w:val="0046625B"/>
    <w:rsid w:val="004B0B87"/>
    <w:rsid w:val="004B0F93"/>
    <w:rsid w:val="004F519D"/>
    <w:rsid w:val="00556F62"/>
    <w:rsid w:val="0057182D"/>
    <w:rsid w:val="00580594"/>
    <w:rsid w:val="005E159D"/>
    <w:rsid w:val="0063183B"/>
    <w:rsid w:val="00637982"/>
    <w:rsid w:val="00642F8D"/>
    <w:rsid w:val="00663C0D"/>
    <w:rsid w:val="006740B2"/>
    <w:rsid w:val="006A142E"/>
    <w:rsid w:val="006A2C00"/>
    <w:rsid w:val="006B0076"/>
    <w:rsid w:val="006C7B55"/>
    <w:rsid w:val="006E3C34"/>
    <w:rsid w:val="00766662"/>
    <w:rsid w:val="00786E31"/>
    <w:rsid w:val="0078772B"/>
    <w:rsid w:val="007900A8"/>
    <w:rsid w:val="007A4B58"/>
    <w:rsid w:val="007D08D6"/>
    <w:rsid w:val="007D2026"/>
    <w:rsid w:val="007D211A"/>
    <w:rsid w:val="00821E56"/>
    <w:rsid w:val="00827DCC"/>
    <w:rsid w:val="008337A3"/>
    <w:rsid w:val="00876A89"/>
    <w:rsid w:val="00893C52"/>
    <w:rsid w:val="008A7ABB"/>
    <w:rsid w:val="008B52B1"/>
    <w:rsid w:val="008E41AA"/>
    <w:rsid w:val="008F3B9A"/>
    <w:rsid w:val="00904D39"/>
    <w:rsid w:val="00906012"/>
    <w:rsid w:val="00907B6F"/>
    <w:rsid w:val="00935AAB"/>
    <w:rsid w:val="00956164"/>
    <w:rsid w:val="00961412"/>
    <w:rsid w:val="00986625"/>
    <w:rsid w:val="00994CB6"/>
    <w:rsid w:val="009A52ED"/>
    <w:rsid w:val="009B6AF1"/>
    <w:rsid w:val="009C79B6"/>
    <w:rsid w:val="009D39A0"/>
    <w:rsid w:val="009F1971"/>
    <w:rsid w:val="00A1017F"/>
    <w:rsid w:val="00A24C61"/>
    <w:rsid w:val="00A32EF7"/>
    <w:rsid w:val="00A35549"/>
    <w:rsid w:val="00A36786"/>
    <w:rsid w:val="00A56BB2"/>
    <w:rsid w:val="00AB05B4"/>
    <w:rsid w:val="00AB77E9"/>
    <w:rsid w:val="00AD13DC"/>
    <w:rsid w:val="00AD566B"/>
    <w:rsid w:val="00AD5E1C"/>
    <w:rsid w:val="00AF4699"/>
    <w:rsid w:val="00B16C29"/>
    <w:rsid w:val="00B22FBC"/>
    <w:rsid w:val="00B250BA"/>
    <w:rsid w:val="00B4063E"/>
    <w:rsid w:val="00B64DE8"/>
    <w:rsid w:val="00B82E7D"/>
    <w:rsid w:val="00B909B1"/>
    <w:rsid w:val="00B96599"/>
    <w:rsid w:val="00BC4D65"/>
    <w:rsid w:val="00C07DC0"/>
    <w:rsid w:val="00C16B13"/>
    <w:rsid w:val="00C256CE"/>
    <w:rsid w:val="00C56F75"/>
    <w:rsid w:val="00D07A7D"/>
    <w:rsid w:val="00D348B4"/>
    <w:rsid w:val="00D41E2E"/>
    <w:rsid w:val="00D516F1"/>
    <w:rsid w:val="00D60F44"/>
    <w:rsid w:val="00D941E7"/>
    <w:rsid w:val="00DA71E9"/>
    <w:rsid w:val="00DC4C2D"/>
    <w:rsid w:val="00E3219C"/>
    <w:rsid w:val="00E50DC2"/>
    <w:rsid w:val="00E534F8"/>
    <w:rsid w:val="00E547CB"/>
    <w:rsid w:val="00E74C06"/>
    <w:rsid w:val="00EC29E7"/>
    <w:rsid w:val="00ED453C"/>
    <w:rsid w:val="00ED5984"/>
    <w:rsid w:val="00EF617C"/>
    <w:rsid w:val="00F14E1D"/>
    <w:rsid w:val="00F151A1"/>
    <w:rsid w:val="00F171F0"/>
    <w:rsid w:val="00F225AD"/>
    <w:rsid w:val="00F275AE"/>
    <w:rsid w:val="00F40C3C"/>
    <w:rsid w:val="00F47319"/>
    <w:rsid w:val="00F626F9"/>
    <w:rsid w:val="00F63ABF"/>
    <w:rsid w:val="00F67BC8"/>
    <w:rsid w:val="00FE1000"/>
    <w:rsid w:val="00FF73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A7532"/>
  <w15:docId w15:val="{ADE2E56E-5F8B-4B34-978F-E5735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BB"/>
    <w:pPr>
      <w:spacing w:line="360" w:lineRule="auto"/>
      <w:jc w:val="both"/>
    </w:pPr>
  </w:style>
  <w:style w:type="paragraph" w:styleId="Heading1">
    <w:name w:val="heading 1"/>
    <w:basedOn w:val="Normal"/>
    <w:next w:val="Normal"/>
    <w:link w:val="Heading1Char"/>
    <w:uiPriority w:val="9"/>
    <w:qFormat/>
    <w:rsid w:val="006B0076"/>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B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B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71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C799A"/>
    <w:pPr>
      <w:spacing w:after="0" w:line="240" w:lineRule="auto"/>
    </w:pPr>
    <w:rPr>
      <w:sz w:val="20"/>
      <w:szCs w:val="20"/>
    </w:rPr>
  </w:style>
  <w:style w:type="character" w:customStyle="1" w:styleId="EndnoteTextChar">
    <w:name w:val="Endnote Text Char"/>
    <w:basedOn w:val="DefaultParagraphFont"/>
    <w:link w:val="EndnoteText"/>
    <w:uiPriority w:val="99"/>
    <w:rsid w:val="003C799A"/>
    <w:rPr>
      <w:sz w:val="20"/>
      <w:szCs w:val="20"/>
    </w:rPr>
  </w:style>
  <w:style w:type="character" w:styleId="EndnoteReference">
    <w:name w:val="endnote reference"/>
    <w:basedOn w:val="DefaultParagraphFont"/>
    <w:uiPriority w:val="99"/>
    <w:unhideWhenUsed/>
    <w:rsid w:val="003C799A"/>
    <w:rPr>
      <w:vertAlign w:val="superscript"/>
    </w:rPr>
  </w:style>
  <w:style w:type="paragraph" w:styleId="BalloonText">
    <w:name w:val="Balloon Text"/>
    <w:basedOn w:val="Normal"/>
    <w:link w:val="BalloonTextChar"/>
    <w:uiPriority w:val="99"/>
    <w:semiHidden/>
    <w:unhideWhenUsed/>
    <w:rsid w:val="008F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9A"/>
    <w:rPr>
      <w:rFonts w:ascii="Tahoma" w:hAnsi="Tahoma" w:cs="Tahoma"/>
      <w:sz w:val="16"/>
      <w:szCs w:val="16"/>
    </w:rPr>
  </w:style>
  <w:style w:type="character" w:customStyle="1" w:styleId="Heading2Char">
    <w:name w:val="Heading 2 Char"/>
    <w:basedOn w:val="DefaultParagraphFont"/>
    <w:link w:val="Heading2"/>
    <w:uiPriority w:val="9"/>
    <w:rsid w:val="008F3B9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B007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F3B9A"/>
    <w:rPr>
      <w:rFonts w:asciiTheme="majorHAnsi" w:eastAsiaTheme="majorEastAsia" w:hAnsiTheme="majorHAnsi" w:cstheme="majorBidi"/>
      <w:b/>
      <w:bCs/>
      <w:color w:val="4F81BD" w:themeColor="accent1"/>
    </w:rPr>
  </w:style>
  <w:style w:type="character" w:customStyle="1" w:styleId="mixed-citation">
    <w:name w:val="mixed-citation"/>
    <w:basedOn w:val="DefaultParagraphFont"/>
    <w:rsid w:val="00384799"/>
  </w:style>
  <w:style w:type="character" w:customStyle="1" w:styleId="ref-title">
    <w:name w:val="ref-title"/>
    <w:basedOn w:val="DefaultParagraphFont"/>
    <w:rsid w:val="00384799"/>
  </w:style>
  <w:style w:type="character" w:customStyle="1" w:styleId="ref-journal">
    <w:name w:val="ref-journal"/>
    <w:basedOn w:val="DefaultParagraphFont"/>
    <w:rsid w:val="00384799"/>
  </w:style>
  <w:style w:type="character" w:customStyle="1" w:styleId="ref-vol">
    <w:name w:val="ref-vol"/>
    <w:basedOn w:val="DefaultParagraphFont"/>
    <w:rsid w:val="00384799"/>
  </w:style>
  <w:style w:type="paragraph" w:styleId="FootnoteText">
    <w:name w:val="footnote text"/>
    <w:basedOn w:val="Normal"/>
    <w:link w:val="FootnoteTextChar"/>
    <w:uiPriority w:val="99"/>
    <w:semiHidden/>
    <w:unhideWhenUsed/>
    <w:rsid w:val="00637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7982"/>
    <w:rPr>
      <w:sz w:val="20"/>
      <w:szCs w:val="20"/>
    </w:rPr>
  </w:style>
  <w:style w:type="character" w:styleId="FootnoteReference">
    <w:name w:val="footnote reference"/>
    <w:basedOn w:val="DefaultParagraphFont"/>
    <w:uiPriority w:val="99"/>
    <w:semiHidden/>
    <w:unhideWhenUsed/>
    <w:rsid w:val="00637982"/>
    <w:rPr>
      <w:vertAlign w:val="superscript"/>
    </w:rPr>
  </w:style>
  <w:style w:type="character" w:customStyle="1" w:styleId="apple-converted-space">
    <w:name w:val="apple-converted-space"/>
    <w:basedOn w:val="DefaultParagraphFont"/>
    <w:rsid w:val="00F63ABF"/>
  </w:style>
  <w:style w:type="paragraph" w:styleId="NormalWeb">
    <w:name w:val="Normal (Web)"/>
    <w:basedOn w:val="Normal"/>
    <w:uiPriority w:val="99"/>
    <w:unhideWhenUsed/>
    <w:rsid w:val="00B22FBC"/>
    <w:pPr>
      <w:spacing w:before="100" w:beforeAutospacing="1" w:after="100" w:afterAutospacing="1" w:line="240" w:lineRule="auto"/>
      <w:jc w:val="left"/>
    </w:pPr>
    <w:rPr>
      <w:rFonts w:ascii="Times New Roman" w:hAnsi="Times New Roman" w:cs="Times New Roman"/>
      <w:sz w:val="24"/>
      <w:szCs w:val="24"/>
      <w:lang w:val="es-ES_tradnl" w:eastAsia="es-ES_tradnl"/>
    </w:rPr>
  </w:style>
  <w:style w:type="paragraph" w:styleId="HTMLPreformatted">
    <w:name w:val="HTML Preformatted"/>
    <w:basedOn w:val="Normal"/>
    <w:link w:val="HTMLPreformattedChar"/>
    <w:uiPriority w:val="99"/>
    <w:unhideWhenUsed/>
    <w:rsid w:val="00362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s-ES_tradnl" w:eastAsia="es-ES_tradnl"/>
    </w:rPr>
  </w:style>
  <w:style w:type="character" w:customStyle="1" w:styleId="HTMLPreformattedChar">
    <w:name w:val="HTML Preformatted Char"/>
    <w:basedOn w:val="DefaultParagraphFont"/>
    <w:link w:val="HTMLPreformatted"/>
    <w:uiPriority w:val="99"/>
    <w:rsid w:val="00362911"/>
    <w:rPr>
      <w:rFonts w:ascii="Courier New" w:hAnsi="Courier New" w:cs="Courier New"/>
      <w:sz w:val="20"/>
      <w:szCs w:val="20"/>
      <w:lang w:val="es-ES_tradnl" w:eastAsia="es-ES_tradnl"/>
    </w:rPr>
  </w:style>
  <w:style w:type="paragraph" w:styleId="ListParagraph">
    <w:name w:val="List Paragraph"/>
    <w:basedOn w:val="Normal"/>
    <w:uiPriority w:val="99"/>
    <w:qFormat/>
    <w:rsid w:val="007D211A"/>
    <w:pPr>
      <w:spacing w:after="0" w:line="240" w:lineRule="auto"/>
      <w:ind w:left="720"/>
      <w:contextualSpacing/>
      <w:jc w:val="left"/>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171F0"/>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F171F0"/>
  </w:style>
  <w:style w:type="character" w:styleId="Hyperlink">
    <w:name w:val="Hyperlink"/>
    <w:basedOn w:val="DefaultParagraphFont"/>
    <w:uiPriority w:val="99"/>
    <w:semiHidden/>
    <w:unhideWhenUsed/>
    <w:rsid w:val="00DC4C2D"/>
    <w:rPr>
      <w:color w:val="0000FF"/>
      <w:u w:val="single"/>
    </w:rPr>
  </w:style>
  <w:style w:type="table" w:styleId="TableGrid">
    <w:name w:val="Table Grid"/>
    <w:basedOn w:val="TableNormal"/>
    <w:uiPriority w:val="59"/>
    <w:rsid w:val="00FE1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B55"/>
    <w:rPr>
      <w:sz w:val="16"/>
      <w:szCs w:val="16"/>
    </w:rPr>
  </w:style>
  <w:style w:type="paragraph" w:styleId="CommentText">
    <w:name w:val="annotation text"/>
    <w:basedOn w:val="Normal"/>
    <w:link w:val="CommentTextChar"/>
    <w:uiPriority w:val="99"/>
    <w:semiHidden/>
    <w:unhideWhenUsed/>
    <w:rsid w:val="006C7B55"/>
    <w:pPr>
      <w:spacing w:line="240" w:lineRule="auto"/>
    </w:pPr>
    <w:rPr>
      <w:sz w:val="20"/>
      <w:szCs w:val="20"/>
    </w:rPr>
  </w:style>
  <w:style w:type="character" w:customStyle="1" w:styleId="CommentTextChar">
    <w:name w:val="Comment Text Char"/>
    <w:basedOn w:val="DefaultParagraphFont"/>
    <w:link w:val="CommentText"/>
    <w:uiPriority w:val="99"/>
    <w:semiHidden/>
    <w:rsid w:val="006C7B55"/>
    <w:rPr>
      <w:sz w:val="20"/>
      <w:szCs w:val="20"/>
    </w:rPr>
  </w:style>
  <w:style w:type="paragraph" w:styleId="CommentSubject">
    <w:name w:val="annotation subject"/>
    <w:basedOn w:val="CommentText"/>
    <w:next w:val="CommentText"/>
    <w:link w:val="CommentSubjectChar"/>
    <w:uiPriority w:val="99"/>
    <w:semiHidden/>
    <w:unhideWhenUsed/>
    <w:rsid w:val="006C7B55"/>
    <w:rPr>
      <w:b/>
      <w:bCs/>
    </w:rPr>
  </w:style>
  <w:style w:type="character" w:customStyle="1" w:styleId="CommentSubjectChar">
    <w:name w:val="Comment Subject Char"/>
    <w:basedOn w:val="CommentTextChar"/>
    <w:link w:val="CommentSubject"/>
    <w:uiPriority w:val="99"/>
    <w:semiHidden/>
    <w:rsid w:val="006C7B55"/>
    <w:rPr>
      <w:b/>
      <w:bCs/>
      <w:sz w:val="20"/>
      <w:szCs w:val="20"/>
    </w:rPr>
  </w:style>
  <w:style w:type="character" w:styleId="Emphasis">
    <w:name w:val="Emphasis"/>
    <w:basedOn w:val="DefaultParagraphFont"/>
    <w:uiPriority w:val="20"/>
    <w:qFormat/>
    <w:rsid w:val="00ED5984"/>
    <w:rPr>
      <w:i/>
      <w:iCs/>
    </w:rPr>
  </w:style>
  <w:style w:type="character" w:customStyle="1" w:styleId="sc">
    <w:name w:val="sc"/>
    <w:basedOn w:val="DefaultParagraphFont"/>
    <w:rsid w:val="00ED5984"/>
  </w:style>
  <w:style w:type="paragraph" w:customStyle="1" w:styleId="xmsonormal">
    <w:name w:val="x_msonormal"/>
    <w:basedOn w:val="Normal"/>
    <w:rsid w:val="00C16B13"/>
    <w:pPr>
      <w:spacing w:before="100" w:beforeAutospacing="1" w:after="100" w:afterAutospacing="1" w:line="240" w:lineRule="auto"/>
      <w:jc w:val="left"/>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9908">
      <w:bodyDiv w:val="1"/>
      <w:marLeft w:val="0"/>
      <w:marRight w:val="0"/>
      <w:marTop w:val="0"/>
      <w:marBottom w:val="0"/>
      <w:divBdr>
        <w:top w:val="none" w:sz="0" w:space="0" w:color="auto"/>
        <w:left w:val="none" w:sz="0" w:space="0" w:color="auto"/>
        <w:bottom w:val="none" w:sz="0" w:space="0" w:color="auto"/>
        <w:right w:val="none" w:sz="0" w:space="0" w:color="auto"/>
      </w:divBdr>
      <w:divsChild>
        <w:div w:id="814376805">
          <w:marLeft w:val="0"/>
          <w:marRight w:val="0"/>
          <w:marTop w:val="0"/>
          <w:marBottom w:val="0"/>
          <w:divBdr>
            <w:top w:val="none" w:sz="0" w:space="0" w:color="auto"/>
            <w:left w:val="none" w:sz="0" w:space="0" w:color="auto"/>
            <w:bottom w:val="none" w:sz="0" w:space="0" w:color="auto"/>
            <w:right w:val="none" w:sz="0" w:space="0" w:color="auto"/>
          </w:divBdr>
        </w:div>
        <w:div w:id="1043597472">
          <w:marLeft w:val="0"/>
          <w:marRight w:val="0"/>
          <w:marTop w:val="0"/>
          <w:marBottom w:val="0"/>
          <w:divBdr>
            <w:top w:val="none" w:sz="0" w:space="0" w:color="auto"/>
            <w:left w:val="none" w:sz="0" w:space="0" w:color="auto"/>
            <w:bottom w:val="none" w:sz="0" w:space="0" w:color="auto"/>
            <w:right w:val="none" w:sz="0" w:space="0" w:color="auto"/>
          </w:divBdr>
        </w:div>
        <w:div w:id="1748763943">
          <w:marLeft w:val="0"/>
          <w:marRight w:val="0"/>
          <w:marTop w:val="0"/>
          <w:marBottom w:val="0"/>
          <w:divBdr>
            <w:top w:val="none" w:sz="0" w:space="0" w:color="auto"/>
            <w:left w:val="none" w:sz="0" w:space="0" w:color="auto"/>
            <w:bottom w:val="none" w:sz="0" w:space="0" w:color="auto"/>
            <w:right w:val="none" w:sz="0" w:space="0" w:color="auto"/>
          </w:divBdr>
        </w:div>
        <w:div w:id="848718570">
          <w:marLeft w:val="0"/>
          <w:marRight w:val="0"/>
          <w:marTop w:val="0"/>
          <w:marBottom w:val="0"/>
          <w:divBdr>
            <w:top w:val="none" w:sz="0" w:space="0" w:color="auto"/>
            <w:left w:val="none" w:sz="0" w:space="0" w:color="auto"/>
            <w:bottom w:val="none" w:sz="0" w:space="0" w:color="auto"/>
            <w:right w:val="none" w:sz="0" w:space="0" w:color="auto"/>
          </w:divBdr>
        </w:div>
        <w:div w:id="807743518">
          <w:marLeft w:val="0"/>
          <w:marRight w:val="0"/>
          <w:marTop w:val="0"/>
          <w:marBottom w:val="0"/>
          <w:divBdr>
            <w:top w:val="none" w:sz="0" w:space="0" w:color="auto"/>
            <w:left w:val="none" w:sz="0" w:space="0" w:color="auto"/>
            <w:bottom w:val="none" w:sz="0" w:space="0" w:color="auto"/>
            <w:right w:val="none" w:sz="0" w:space="0" w:color="auto"/>
          </w:divBdr>
        </w:div>
      </w:divsChild>
    </w:div>
    <w:div w:id="183204007">
      <w:bodyDiv w:val="1"/>
      <w:marLeft w:val="0"/>
      <w:marRight w:val="0"/>
      <w:marTop w:val="0"/>
      <w:marBottom w:val="0"/>
      <w:divBdr>
        <w:top w:val="none" w:sz="0" w:space="0" w:color="auto"/>
        <w:left w:val="none" w:sz="0" w:space="0" w:color="auto"/>
        <w:bottom w:val="none" w:sz="0" w:space="0" w:color="auto"/>
        <w:right w:val="none" w:sz="0" w:space="0" w:color="auto"/>
      </w:divBdr>
    </w:div>
    <w:div w:id="214393956">
      <w:bodyDiv w:val="1"/>
      <w:marLeft w:val="0"/>
      <w:marRight w:val="0"/>
      <w:marTop w:val="0"/>
      <w:marBottom w:val="0"/>
      <w:divBdr>
        <w:top w:val="none" w:sz="0" w:space="0" w:color="auto"/>
        <w:left w:val="none" w:sz="0" w:space="0" w:color="auto"/>
        <w:bottom w:val="none" w:sz="0" w:space="0" w:color="auto"/>
        <w:right w:val="none" w:sz="0" w:space="0" w:color="auto"/>
      </w:divBdr>
    </w:div>
    <w:div w:id="258298047">
      <w:bodyDiv w:val="1"/>
      <w:marLeft w:val="0"/>
      <w:marRight w:val="0"/>
      <w:marTop w:val="0"/>
      <w:marBottom w:val="0"/>
      <w:divBdr>
        <w:top w:val="none" w:sz="0" w:space="0" w:color="auto"/>
        <w:left w:val="none" w:sz="0" w:space="0" w:color="auto"/>
        <w:bottom w:val="none" w:sz="0" w:space="0" w:color="auto"/>
        <w:right w:val="none" w:sz="0" w:space="0" w:color="auto"/>
      </w:divBdr>
      <w:divsChild>
        <w:div w:id="529992288">
          <w:marLeft w:val="0"/>
          <w:marRight w:val="0"/>
          <w:marTop w:val="0"/>
          <w:marBottom w:val="0"/>
          <w:divBdr>
            <w:top w:val="none" w:sz="0" w:space="0" w:color="auto"/>
            <w:left w:val="none" w:sz="0" w:space="0" w:color="auto"/>
            <w:bottom w:val="none" w:sz="0" w:space="0" w:color="auto"/>
            <w:right w:val="none" w:sz="0" w:space="0" w:color="auto"/>
          </w:divBdr>
          <w:divsChild>
            <w:div w:id="936209339">
              <w:marLeft w:val="0"/>
              <w:marRight w:val="0"/>
              <w:marTop w:val="0"/>
              <w:marBottom w:val="0"/>
              <w:divBdr>
                <w:top w:val="none" w:sz="0" w:space="0" w:color="auto"/>
                <w:left w:val="none" w:sz="0" w:space="0" w:color="auto"/>
                <w:bottom w:val="none" w:sz="0" w:space="0" w:color="auto"/>
                <w:right w:val="none" w:sz="0" w:space="0" w:color="auto"/>
              </w:divBdr>
              <w:divsChild>
                <w:div w:id="120148238">
                  <w:marLeft w:val="0"/>
                  <w:marRight w:val="0"/>
                  <w:marTop w:val="0"/>
                  <w:marBottom w:val="0"/>
                  <w:divBdr>
                    <w:top w:val="none" w:sz="0" w:space="0" w:color="auto"/>
                    <w:left w:val="none" w:sz="0" w:space="0" w:color="auto"/>
                    <w:bottom w:val="none" w:sz="0" w:space="0" w:color="auto"/>
                    <w:right w:val="none" w:sz="0" w:space="0" w:color="auto"/>
                  </w:divBdr>
                  <w:divsChild>
                    <w:div w:id="99568328">
                      <w:marLeft w:val="0"/>
                      <w:marRight w:val="0"/>
                      <w:marTop w:val="0"/>
                      <w:marBottom w:val="0"/>
                      <w:divBdr>
                        <w:top w:val="none" w:sz="0" w:space="0" w:color="auto"/>
                        <w:left w:val="none" w:sz="0" w:space="0" w:color="auto"/>
                        <w:bottom w:val="none" w:sz="0" w:space="0" w:color="auto"/>
                        <w:right w:val="none" w:sz="0" w:space="0" w:color="auto"/>
                      </w:divBdr>
                      <w:divsChild>
                        <w:div w:id="15536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669221">
      <w:bodyDiv w:val="1"/>
      <w:marLeft w:val="0"/>
      <w:marRight w:val="0"/>
      <w:marTop w:val="0"/>
      <w:marBottom w:val="0"/>
      <w:divBdr>
        <w:top w:val="none" w:sz="0" w:space="0" w:color="auto"/>
        <w:left w:val="none" w:sz="0" w:space="0" w:color="auto"/>
        <w:bottom w:val="none" w:sz="0" w:space="0" w:color="auto"/>
        <w:right w:val="none" w:sz="0" w:space="0" w:color="auto"/>
      </w:divBdr>
    </w:div>
    <w:div w:id="368803278">
      <w:bodyDiv w:val="1"/>
      <w:marLeft w:val="0"/>
      <w:marRight w:val="0"/>
      <w:marTop w:val="0"/>
      <w:marBottom w:val="0"/>
      <w:divBdr>
        <w:top w:val="none" w:sz="0" w:space="0" w:color="auto"/>
        <w:left w:val="none" w:sz="0" w:space="0" w:color="auto"/>
        <w:bottom w:val="none" w:sz="0" w:space="0" w:color="auto"/>
        <w:right w:val="none" w:sz="0" w:space="0" w:color="auto"/>
      </w:divBdr>
    </w:div>
    <w:div w:id="428819929">
      <w:bodyDiv w:val="1"/>
      <w:marLeft w:val="0"/>
      <w:marRight w:val="0"/>
      <w:marTop w:val="0"/>
      <w:marBottom w:val="0"/>
      <w:divBdr>
        <w:top w:val="none" w:sz="0" w:space="0" w:color="auto"/>
        <w:left w:val="none" w:sz="0" w:space="0" w:color="auto"/>
        <w:bottom w:val="none" w:sz="0" w:space="0" w:color="auto"/>
        <w:right w:val="none" w:sz="0" w:space="0" w:color="auto"/>
      </w:divBdr>
      <w:divsChild>
        <w:div w:id="1265844619">
          <w:marLeft w:val="0"/>
          <w:marRight w:val="0"/>
          <w:marTop w:val="0"/>
          <w:marBottom w:val="0"/>
          <w:divBdr>
            <w:top w:val="none" w:sz="0" w:space="0" w:color="auto"/>
            <w:left w:val="none" w:sz="0" w:space="0" w:color="auto"/>
            <w:bottom w:val="none" w:sz="0" w:space="0" w:color="auto"/>
            <w:right w:val="none" w:sz="0" w:space="0" w:color="auto"/>
          </w:divBdr>
          <w:divsChild>
            <w:div w:id="1196239140">
              <w:marLeft w:val="0"/>
              <w:marRight w:val="0"/>
              <w:marTop w:val="0"/>
              <w:marBottom w:val="0"/>
              <w:divBdr>
                <w:top w:val="none" w:sz="0" w:space="0" w:color="auto"/>
                <w:left w:val="none" w:sz="0" w:space="0" w:color="auto"/>
                <w:bottom w:val="none" w:sz="0" w:space="0" w:color="auto"/>
                <w:right w:val="none" w:sz="0" w:space="0" w:color="auto"/>
              </w:divBdr>
              <w:divsChild>
                <w:div w:id="9943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5342">
      <w:bodyDiv w:val="1"/>
      <w:marLeft w:val="0"/>
      <w:marRight w:val="0"/>
      <w:marTop w:val="0"/>
      <w:marBottom w:val="0"/>
      <w:divBdr>
        <w:top w:val="none" w:sz="0" w:space="0" w:color="auto"/>
        <w:left w:val="none" w:sz="0" w:space="0" w:color="auto"/>
        <w:bottom w:val="none" w:sz="0" w:space="0" w:color="auto"/>
        <w:right w:val="none" w:sz="0" w:space="0" w:color="auto"/>
      </w:divBdr>
    </w:div>
    <w:div w:id="643391980">
      <w:bodyDiv w:val="1"/>
      <w:marLeft w:val="0"/>
      <w:marRight w:val="0"/>
      <w:marTop w:val="0"/>
      <w:marBottom w:val="0"/>
      <w:divBdr>
        <w:top w:val="none" w:sz="0" w:space="0" w:color="auto"/>
        <w:left w:val="none" w:sz="0" w:space="0" w:color="auto"/>
        <w:bottom w:val="none" w:sz="0" w:space="0" w:color="auto"/>
        <w:right w:val="none" w:sz="0" w:space="0" w:color="auto"/>
      </w:divBdr>
    </w:div>
    <w:div w:id="966281315">
      <w:bodyDiv w:val="1"/>
      <w:marLeft w:val="0"/>
      <w:marRight w:val="0"/>
      <w:marTop w:val="0"/>
      <w:marBottom w:val="0"/>
      <w:divBdr>
        <w:top w:val="none" w:sz="0" w:space="0" w:color="auto"/>
        <w:left w:val="none" w:sz="0" w:space="0" w:color="auto"/>
        <w:bottom w:val="none" w:sz="0" w:space="0" w:color="auto"/>
        <w:right w:val="none" w:sz="0" w:space="0" w:color="auto"/>
      </w:divBdr>
    </w:div>
    <w:div w:id="972951751">
      <w:bodyDiv w:val="1"/>
      <w:marLeft w:val="0"/>
      <w:marRight w:val="0"/>
      <w:marTop w:val="0"/>
      <w:marBottom w:val="0"/>
      <w:divBdr>
        <w:top w:val="none" w:sz="0" w:space="0" w:color="auto"/>
        <w:left w:val="none" w:sz="0" w:space="0" w:color="auto"/>
        <w:bottom w:val="none" w:sz="0" w:space="0" w:color="auto"/>
        <w:right w:val="none" w:sz="0" w:space="0" w:color="auto"/>
      </w:divBdr>
      <w:divsChild>
        <w:div w:id="2085368026">
          <w:marLeft w:val="0"/>
          <w:marRight w:val="0"/>
          <w:marTop w:val="0"/>
          <w:marBottom w:val="0"/>
          <w:divBdr>
            <w:top w:val="none" w:sz="0" w:space="0" w:color="auto"/>
            <w:left w:val="none" w:sz="0" w:space="0" w:color="auto"/>
            <w:bottom w:val="none" w:sz="0" w:space="0" w:color="auto"/>
            <w:right w:val="none" w:sz="0" w:space="0" w:color="auto"/>
          </w:divBdr>
          <w:divsChild>
            <w:div w:id="1867671906">
              <w:marLeft w:val="0"/>
              <w:marRight w:val="0"/>
              <w:marTop w:val="0"/>
              <w:marBottom w:val="0"/>
              <w:divBdr>
                <w:top w:val="none" w:sz="0" w:space="0" w:color="auto"/>
                <w:left w:val="none" w:sz="0" w:space="0" w:color="auto"/>
                <w:bottom w:val="none" w:sz="0" w:space="0" w:color="auto"/>
                <w:right w:val="none" w:sz="0" w:space="0" w:color="auto"/>
              </w:divBdr>
              <w:divsChild>
                <w:div w:id="5920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1642">
      <w:bodyDiv w:val="1"/>
      <w:marLeft w:val="0"/>
      <w:marRight w:val="0"/>
      <w:marTop w:val="0"/>
      <w:marBottom w:val="0"/>
      <w:divBdr>
        <w:top w:val="none" w:sz="0" w:space="0" w:color="auto"/>
        <w:left w:val="none" w:sz="0" w:space="0" w:color="auto"/>
        <w:bottom w:val="none" w:sz="0" w:space="0" w:color="auto"/>
        <w:right w:val="none" w:sz="0" w:space="0" w:color="auto"/>
      </w:divBdr>
    </w:div>
    <w:div w:id="1342968972">
      <w:bodyDiv w:val="1"/>
      <w:marLeft w:val="0"/>
      <w:marRight w:val="0"/>
      <w:marTop w:val="0"/>
      <w:marBottom w:val="0"/>
      <w:divBdr>
        <w:top w:val="none" w:sz="0" w:space="0" w:color="auto"/>
        <w:left w:val="none" w:sz="0" w:space="0" w:color="auto"/>
        <w:bottom w:val="none" w:sz="0" w:space="0" w:color="auto"/>
        <w:right w:val="none" w:sz="0" w:space="0" w:color="auto"/>
      </w:divBdr>
      <w:divsChild>
        <w:div w:id="2132701551">
          <w:marLeft w:val="0"/>
          <w:marRight w:val="0"/>
          <w:marTop w:val="0"/>
          <w:marBottom w:val="0"/>
          <w:divBdr>
            <w:top w:val="none" w:sz="0" w:space="0" w:color="auto"/>
            <w:left w:val="none" w:sz="0" w:space="0" w:color="auto"/>
            <w:bottom w:val="none" w:sz="0" w:space="0" w:color="auto"/>
            <w:right w:val="none" w:sz="0" w:space="0" w:color="auto"/>
          </w:divBdr>
          <w:divsChild>
            <w:div w:id="835656095">
              <w:marLeft w:val="0"/>
              <w:marRight w:val="0"/>
              <w:marTop w:val="0"/>
              <w:marBottom w:val="0"/>
              <w:divBdr>
                <w:top w:val="none" w:sz="0" w:space="0" w:color="auto"/>
                <w:left w:val="none" w:sz="0" w:space="0" w:color="auto"/>
                <w:bottom w:val="none" w:sz="0" w:space="0" w:color="auto"/>
                <w:right w:val="none" w:sz="0" w:space="0" w:color="auto"/>
              </w:divBdr>
              <w:divsChild>
                <w:div w:id="2074497775">
                  <w:marLeft w:val="0"/>
                  <w:marRight w:val="0"/>
                  <w:marTop w:val="0"/>
                  <w:marBottom w:val="0"/>
                  <w:divBdr>
                    <w:top w:val="none" w:sz="0" w:space="0" w:color="auto"/>
                    <w:left w:val="none" w:sz="0" w:space="0" w:color="auto"/>
                    <w:bottom w:val="none" w:sz="0" w:space="0" w:color="auto"/>
                    <w:right w:val="none" w:sz="0" w:space="0" w:color="auto"/>
                  </w:divBdr>
                  <w:divsChild>
                    <w:div w:id="1876917230">
                      <w:marLeft w:val="0"/>
                      <w:marRight w:val="0"/>
                      <w:marTop w:val="0"/>
                      <w:marBottom w:val="0"/>
                      <w:divBdr>
                        <w:top w:val="none" w:sz="0" w:space="0" w:color="auto"/>
                        <w:left w:val="none" w:sz="0" w:space="0" w:color="auto"/>
                        <w:bottom w:val="none" w:sz="0" w:space="0" w:color="auto"/>
                        <w:right w:val="none" w:sz="0" w:space="0" w:color="auto"/>
                      </w:divBdr>
                      <w:divsChild>
                        <w:div w:id="3115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57063">
      <w:bodyDiv w:val="1"/>
      <w:marLeft w:val="0"/>
      <w:marRight w:val="0"/>
      <w:marTop w:val="0"/>
      <w:marBottom w:val="0"/>
      <w:divBdr>
        <w:top w:val="none" w:sz="0" w:space="0" w:color="auto"/>
        <w:left w:val="none" w:sz="0" w:space="0" w:color="auto"/>
        <w:bottom w:val="none" w:sz="0" w:space="0" w:color="auto"/>
        <w:right w:val="none" w:sz="0" w:space="0" w:color="auto"/>
      </w:divBdr>
    </w:div>
    <w:div w:id="1810902795">
      <w:bodyDiv w:val="1"/>
      <w:marLeft w:val="0"/>
      <w:marRight w:val="0"/>
      <w:marTop w:val="0"/>
      <w:marBottom w:val="0"/>
      <w:divBdr>
        <w:top w:val="none" w:sz="0" w:space="0" w:color="auto"/>
        <w:left w:val="none" w:sz="0" w:space="0" w:color="auto"/>
        <w:bottom w:val="none" w:sz="0" w:space="0" w:color="auto"/>
        <w:right w:val="none" w:sz="0" w:space="0" w:color="auto"/>
      </w:divBdr>
      <w:divsChild>
        <w:div w:id="385643537">
          <w:marLeft w:val="0"/>
          <w:marRight w:val="1"/>
          <w:marTop w:val="0"/>
          <w:marBottom w:val="0"/>
          <w:divBdr>
            <w:top w:val="none" w:sz="0" w:space="0" w:color="auto"/>
            <w:left w:val="none" w:sz="0" w:space="0" w:color="auto"/>
            <w:bottom w:val="none" w:sz="0" w:space="0" w:color="auto"/>
            <w:right w:val="none" w:sz="0" w:space="0" w:color="auto"/>
          </w:divBdr>
          <w:divsChild>
            <w:div w:id="1027020215">
              <w:marLeft w:val="0"/>
              <w:marRight w:val="0"/>
              <w:marTop w:val="0"/>
              <w:marBottom w:val="0"/>
              <w:divBdr>
                <w:top w:val="none" w:sz="0" w:space="0" w:color="auto"/>
                <w:left w:val="none" w:sz="0" w:space="0" w:color="auto"/>
                <w:bottom w:val="none" w:sz="0" w:space="0" w:color="auto"/>
                <w:right w:val="none" w:sz="0" w:space="0" w:color="auto"/>
              </w:divBdr>
              <w:divsChild>
                <w:div w:id="1541747086">
                  <w:marLeft w:val="0"/>
                  <w:marRight w:val="1"/>
                  <w:marTop w:val="0"/>
                  <w:marBottom w:val="0"/>
                  <w:divBdr>
                    <w:top w:val="none" w:sz="0" w:space="0" w:color="auto"/>
                    <w:left w:val="none" w:sz="0" w:space="0" w:color="auto"/>
                    <w:bottom w:val="none" w:sz="0" w:space="0" w:color="auto"/>
                    <w:right w:val="none" w:sz="0" w:space="0" w:color="auto"/>
                  </w:divBdr>
                  <w:divsChild>
                    <w:div w:id="1415395498">
                      <w:marLeft w:val="0"/>
                      <w:marRight w:val="0"/>
                      <w:marTop w:val="0"/>
                      <w:marBottom w:val="0"/>
                      <w:divBdr>
                        <w:top w:val="none" w:sz="0" w:space="0" w:color="auto"/>
                        <w:left w:val="none" w:sz="0" w:space="0" w:color="auto"/>
                        <w:bottom w:val="none" w:sz="0" w:space="0" w:color="auto"/>
                        <w:right w:val="none" w:sz="0" w:space="0" w:color="auto"/>
                      </w:divBdr>
                      <w:divsChild>
                        <w:div w:id="490753525">
                          <w:marLeft w:val="0"/>
                          <w:marRight w:val="0"/>
                          <w:marTop w:val="0"/>
                          <w:marBottom w:val="0"/>
                          <w:divBdr>
                            <w:top w:val="none" w:sz="0" w:space="0" w:color="auto"/>
                            <w:left w:val="none" w:sz="0" w:space="0" w:color="auto"/>
                            <w:bottom w:val="none" w:sz="0" w:space="0" w:color="auto"/>
                            <w:right w:val="none" w:sz="0" w:space="0" w:color="auto"/>
                          </w:divBdr>
                          <w:divsChild>
                            <w:div w:id="1718554279">
                              <w:marLeft w:val="0"/>
                              <w:marRight w:val="0"/>
                              <w:marTop w:val="120"/>
                              <w:marBottom w:val="360"/>
                              <w:divBdr>
                                <w:top w:val="none" w:sz="0" w:space="0" w:color="auto"/>
                                <w:left w:val="none" w:sz="0" w:space="0" w:color="auto"/>
                                <w:bottom w:val="none" w:sz="0" w:space="0" w:color="auto"/>
                                <w:right w:val="none" w:sz="0" w:space="0" w:color="auto"/>
                              </w:divBdr>
                              <w:divsChild>
                                <w:div w:id="1662075501">
                                  <w:marLeft w:val="0"/>
                                  <w:marRight w:val="0"/>
                                  <w:marTop w:val="0"/>
                                  <w:marBottom w:val="0"/>
                                  <w:divBdr>
                                    <w:top w:val="none" w:sz="0" w:space="0" w:color="auto"/>
                                    <w:left w:val="none" w:sz="0" w:space="0" w:color="auto"/>
                                    <w:bottom w:val="none" w:sz="0" w:space="0" w:color="auto"/>
                                    <w:right w:val="none" w:sz="0" w:space="0" w:color="auto"/>
                                  </w:divBdr>
                                  <w:divsChild>
                                    <w:div w:id="5441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64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Art19</b:Tag>
    <b:SourceType>JournalArticle</b:SourceType>
    <b:Guid>{7DACD333-7672-4FEB-A977-6EF9CB1406AB}</b:Guid>
    <b:Title>Predictors of success of high-flow nasal</b:Title>
    <b:Year>2019</b:Year>
    <b:Author>
      <b:Author>
        <b:NameList>
          <b:Person>
            <b:Last>Artacho Ruiz R</b:Last>
            <b:First>Artacho</b:First>
            <b:Middle>Jurado B, Caballero Güeto F, Cano Yuste A, Durbán</b:Middle>
          </b:Person>
        </b:NameList>
      </b:Author>
    </b:Author>
    <b:JournalName>Med Intensiva.</b:JournalName>
    <b:Pages>S0210-5691(19)30191-3</b:Pages>
    <b:RefOrder>1</b:RefOrder>
  </b:Source>
</b:Sources>
</file>

<file path=customXml/itemProps1.xml><?xml version="1.0" encoding="utf-8"?>
<ds:datastoreItem xmlns:ds="http://schemas.openxmlformats.org/officeDocument/2006/customXml" ds:itemID="{B12691AE-9850-C243-9439-64A2DBF7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2705</Words>
  <Characters>15422</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Barts Health</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Tasnin Shahid</cp:lastModifiedBy>
  <cp:revision>4</cp:revision>
  <dcterms:created xsi:type="dcterms:W3CDTF">2020-07-06T12:51:00Z</dcterms:created>
  <dcterms:modified xsi:type="dcterms:W3CDTF">2020-07-06T12:58:00Z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3c121d1f-ef14-470c-bba4-6164482e5a7f</vt:lpwstr>
  </property>
  <property fmtid="{D5CDD505-2E9C-101B-9397-08002B2CF9AE}" pid="3" name="Mendeley Document_1">
    <vt:lpwstr>True</vt:lpwstr>
  </property>
  <property fmtid="{D5CDD505-2E9C-101B-9397-08002B2CF9AE}" pid="4" name="Mendeley Unique User Id_1">
    <vt:lpwstr>a09943ad-784b-3840-bfde-9f1531966ab1</vt:lpwstr>
  </property>
  <property fmtid="{D5CDD505-2E9C-101B-9397-08002B2CF9AE}" pid="5" name="Mendeley Citation Style_1">
    <vt:lpwstr>http://www.zotero.org/styles/british-journal-of-anaesthesia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vt:lpwstr>
  </property>
  <property fmtid="{D5CDD505-2E9C-101B-9397-08002B2CF9AE}" pid="12" name="Mendeley Recent Style Id 3_1">
    <vt:lpwstr>http://www.zotero.org/styles/british-journal-of-anaesthesia</vt:lpwstr>
  </property>
  <property fmtid="{D5CDD505-2E9C-101B-9397-08002B2CF9AE}" pid="13" name="Mendeley Recent Style Name 3_1">
    <vt:lpwstr>British Journal of Anaesthesia</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http://www.zotero.org/styles/international-orthopaedics</vt:lpwstr>
  </property>
  <property fmtid="{D5CDD505-2E9C-101B-9397-08002B2CF9AE}" pid="21" name="Mendeley Recent Style Name 7_1">
    <vt:lpwstr>International Orthopaedics</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