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43BD" w14:textId="18C9A6E8" w:rsidR="00142AB4" w:rsidRPr="008401CA" w:rsidRDefault="00142AB4" w:rsidP="00904BD8">
      <w:pPr>
        <w:pStyle w:val="NoSpacing"/>
        <w:spacing w:line="360" w:lineRule="auto"/>
        <w:jc w:val="center"/>
        <w:rPr>
          <w:b/>
          <w:sz w:val="28"/>
          <w:szCs w:val="28"/>
        </w:rPr>
      </w:pPr>
      <w:r w:rsidRPr="008401CA">
        <w:rPr>
          <w:b/>
          <w:sz w:val="28"/>
          <w:szCs w:val="28"/>
        </w:rPr>
        <w:t>The environmental impact of commonly used anaesthetic agents: a systematic literature review and qualitative evidence synthesis protocol</w:t>
      </w:r>
    </w:p>
    <w:p w14:paraId="4E072887" w14:textId="77777777" w:rsidR="007B0EF6" w:rsidRPr="008401CA" w:rsidRDefault="007B0EF6" w:rsidP="009D2B3C">
      <w:pPr>
        <w:pStyle w:val="NoSpacing"/>
        <w:spacing w:line="360" w:lineRule="auto"/>
      </w:pPr>
    </w:p>
    <w:p w14:paraId="4E2E2082" w14:textId="13A5785C" w:rsidR="009D2B3C" w:rsidRPr="008401CA" w:rsidRDefault="00906477" w:rsidP="009D2B3C">
      <w:pPr>
        <w:pStyle w:val="NoSpacing"/>
        <w:spacing w:line="360" w:lineRule="auto"/>
      </w:pPr>
      <w:r w:rsidRPr="008401CA">
        <w:t>Sarah Hare</w:t>
      </w:r>
      <w:r w:rsidR="009D2B3C" w:rsidRPr="008401CA">
        <w:rPr>
          <w:vertAlign w:val="superscript"/>
        </w:rPr>
        <w:t>1</w:t>
      </w:r>
      <w:r w:rsidR="00061CCD" w:rsidRPr="008401CA">
        <w:rPr>
          <w:vertAlign w:val="superscript"/>
        </w:rPr>
        <w:t>,*</w:t>
      </w:r>
      <w:r w:rsidRPr="008401CA">
        <w:t>, Alex Fowler</w:t>
      </w:r>
      <w:r w:rsidR="009D2B3C" w:rsidRPr="008401CA">
        <w:rPr>
          <w:vertAlign w:val="superscript"/>
        </w:rPr>
        <w:t>2</w:t>
      </w:r>
      <w:r w:rsidRPr="008401CA">
        <w:t xml:space="preserve">, </w:t>
      </w:r>
      <w:r w:rsidR="009D2B3C" w:rsidRPr="008401CA">
        <w:t>William Rattenbury</w:t>
      </w:r>
      <w:r w:rsidR="00061CCD" w:rsidRPr="008401CA">
        <w:rPr>
          <w:vertAlign w:val="superscript"/>
        </w:rPr>
        <w:t>3</w:t>
      </w:r>
      <w:r w:rsidR="009D2B3C" w:rsidRPr="008401CA">
        <w:t>, Sara Scott</w:t>
      </w:r>
      <w:r w:rsidR="00061CCD" w:rsidRPr="008401CA">
        <w:rPr>
          <w:vertAlign w:val="superscript"/>
        </w:rPr>
        <w:t>4</w:t>
      </w:r>
      <w:r w:rsidR="009D2B3C" w:rsidRPr="008401CA">
        <w:t>, Vikas Tripurneni</w:t>
      </w:r>
      <w:r w:rsidR="00061CCD" w:rsidRPr="008401CA">
        <w:rPr>
          <w:vertAlign w:val="superscript"/>
        </w:rPr>
        <w:t>5</w:t>
      </w:r>
      <w:r w:rsidR="009D2B3C" w:rsidRPr="008401CA">
        <w:t>, Mark Earl</w:t>
      </w:r>
      <w:r w:rsidR="00061CCD" w:rsidRPr="008401CA">
        <w:rPr>
          <w:vertAlign w:val="superscript"/>
        </w:rPr>
        <w:t>6</w:t>
      </w:r>
    </w:p>
    <w:p w14:paraId="66A38F45" w14:textId="501C320C" w:rsidR="00906477" w:rsidRPr="008401CA" w:rsidRDefault="00906477" w:rsidP="00904BD8">
      <w:pPr>
        <w:pStyle w:val="NoSpacing"/>
        <w:spacing w:line="360" w:lineRule="auto"/>
      </w:pPr>
      <w:r w:rsidRPr="008401CA">
        <w:t>Rupert Pearse</w:t>
      </w:r>
      <w:r w:rsidR="00061CCD" w:rsidRPr="008401CA">
        <w:rPr>
          <w:vertAlign w:val="superscript"/>
        </w:rPr>
        <w:t>7</w:t>
      </w:r>
    </w:p>
    <w:p w14:paraId="24B74C9E" w14:textId="38B3ABB0" w:rsidR="00061CCD" w:rsidRPr="008401CA" w:rsidRDefault="00061CCD" w:rsidP="009D2B3C">
      <w:pPr>
        <w:pStyle w:val="NoSpacing"/>
        <w:spacing w:line="360" w:lineRule="auto"/>
      </w:pPr>
      <w:r w:rsidRPr="008401CA">
        <w:rPr>
          <w:vertAlign w:val="superscript"/>
        </w:rPr>
        <w:t xml:space="preserve">1 </w:t>
      </w:r>
      <w:r w:rsidRPr="008401CA">
        <w:t>Department of Anaesthesia, Medway Maritime Hospital</w:t>
      </w:r>
    </w:p>
    <w:p w14:paraId="39022B2B" w14:textId="7B31EE63" w:rsidR="00061CCD" w:rsidRPr="008401CA" w:rsidRDefault="00061CCD" w:rsidP="00904BD8">
      <w:pPr>
        <w:pStyle w:val="NoSpacing"/>
        <w:spacing w:line="360" w:lineRule="auto"/>
      </w:pPr>
      <w:r w:rsidRPr="008401CA">
        <w:rPr>
          <w:vertAlign w:val="superscript"/>
        </w:rPr>
        <w:t>*</w:t>
      </w:r>
      <w:r w:rsidRPr="008401CA">
        <w:t xml:space="preserve">corresponding author. </w:t>
      </w:r>
      <w:hyperlink r:id="rId8" w:history="1">
        <w:r w:rsidRPr="008401CA">
          <w:rPr>
            <w:rStyle w:val="Hyperlink"/>
          </w:rPr>
          <w:t>Sarah.hare1@nhs.net</w:t>
        </w:r>
      </w:hyperlink>
      <w:r w:rsidRPr="008401CA">
        <w:t>, Medway Maritime Hospital, Windmill road, Gillingham, Kent, ME7 5NY</w:t>
      </w:r>
    </w:p>
    <w:p w14:paraId="10D34E72" w14:textId="77777777" w:rsidR="00906477" w:rsidRPr="008401CA" w:rsidRDefault="00906477" w:rsidP="00904BD8">
      <w:pPr>
        <w:pStyle w:val="NoSpacing"/>
        <w:spacing w:line="360" w:lineRule="auto"/>
      </w:pPr>
    </w:p>
    <w:p w14:paraId="3DAE8950" w14:textId="77777777" w:rsidR="00061CCD" w:rsidRPr="008401CA" w:rsidRDefault="00061CCD" w:rsidP="009D2B3C">
      <w:pPr>
        <w:pStyle w:val="NoSpacing"/>
        <w:spacing w:line="360" w:lineRule="auto"/>
        <w:rPr>
          <w:sz w:val="24"/>
          <w:szCs w:val="24"/>
        </w:rPr>
      </w:pPr>
    </w:p>
    <w:p w14:paraId="4A4DDB93" w14:textId="77777777" w:rsidR="00BB6396" w:rsidRPr="008401CA" w:rsidRDefault="00BB6396">
      <w:pPr>
        <w:rPr>
          <w:sz w:val="24"/>
          <w:szCs w:val="24"/>
        </w:rPr>
      </w:pPr>
      <w:r w:rsidRPr="008401CA">
        <w:rPr>
          <w:sz w:val="24"/>
          <w:szCs w:val="24"/>
        </w:rPr>
        <w:br w:type="page"/>
      </w:r>
    </w:p>
    <w:p w14:paraId="6A7953C8" w14:textId="3B125B85" w:rsidR="00142AB4" w:rsidRPr="008401CA" w:rsidRDefault="00142AB4" w:rsidP="008401CA">
      <w:pPr>
        <w:pStyle w:val="NoSpacing"/>
        <w:spacing w:line="360" w:lineRule="auto"/>
        <w:jc w:val="both"/>
        <w:rPr>
          <w:iCs/>
          <w:sz w:val="24"/>
          <w:szCs w:val="24"/>
        </w:rPr>
      </w:pPr>
      <w:r w:rsidRPr="008401CA">
        <w:rPr>
          <w:iCs/>
          <w:sz w:val="24"/>
          <w:szCs w:val="24"/>
        </w:rPr>
        <w:lastRenderedPageBreak/>
        <w:t>Introduction</w:t>
      </w:r>
    </w:p>
    <w:p w14:paraId="76DB5EBB" w14:textId="6CC1755F" w:rsidR="008F5B01" w:rsidRPr="008401CA" w:rsidRDefault="00142AB4" w:rsidP="008401CA">
      <w:pPr>
        <w:pStyle w:val="NoSpacing"/>
        <w:tabs>
          <w:tab w:val="left" w:pos="4042"/>
        </w:tabs>
        <w:spacing w:line="360" w:lineRule="auto"/>
        <w:jc w:val="both"/>
      </w:pPr>
      <w:r w:rsidRPr="008401CA">
        <w:t>The scientific evidence for warming of the climate system is now unequivocal</w:t>
      </w:r>
      <w:r w:rsidR="00CC0E90" w:rsidRPr="008401CA">
        <w:t xml:space="preserve"> and the prevention of further global warming now represents mankind’s biggest challenge</w:t>
      </w:r>
      <w:r w:rsidRPr="008401CA">
        <w:t xml:space="preserve">.  </w:t>
      </w:r>
      <w:r w:rsidR="008F5B01" w:rsidRPr="008401CA">
        <w:t>The rate of global warming over the past 150 years is now happening at a faster rate than in preceding millennia</w:t>
      </w:r>
      <w:r w:rsidR="00137323" w:rsidRPr="008401CA">
        <w:t xml:space="preserve">. The United Nations Framework Convention on climate change (UNFCCC) has set a goal of holding the increase in global average temperature to less than 1.5 </w:t>
      </w:r>
      <w:r w:rsidR="00137323" w:rsidRPr="008401CA">
        <w:rPr>
          <w:vertAlign w:val="superscript"/>
        </w:rPr>
        <w:t>o</w:t>
      </w:r>
      <w:r w:rsidR="00137323" w:rsidRPr="008401CA">
        <w:t>C above pre-industrial levels. Green-house gas (GHG) emissions urgently need to be reduced i</w:t>
      </w:r>
      <w:r w:rsidR="008F5B01" w:rsidRPr="008401CA">
        <w:t xml:space="preserve">f </w:t>
      </w:r>
      <w:r w:rsidR="00137323" w:rsidRPr="008401CA">
        <w:t xml:space="preserve">this goal </w:t>
      </w:r>
      <w:r w:rsidR="008F5B01" w:rsidRPr="008401CA">
        <w:t>is to be achieved.</w:t>
      </w:r>
      <w:r w:rsidR="000E67EC" w:rsidRPr="008401CA">
        <w:fldChar w:fldCharType="begin" w:fldLock="1"/>
      </w:r>
      <w:r w:rsidR="000E67EC" w:rsidRPr="008401CA">
        <w:instrText>ADDIN CSL_CITATION {"citationItems":[{"id":"ITEM-1","itemData":{"DOI":"10.1038/382039a0","ISSN":"0028-0836","abstract":"The observed spatial patterns of temperature change in the free atmosphere from 1963 to 1987 are similar to those predicted by state-of-the-art climate models incorporating various combinations of changes in carbon dioxide, anthropogenic sulphate aerosol and stratospheric ozone concentrations. The degree of pattern similarity between models and observations increases through this period. It is likely that this trend is partially due to human activities, although many uncertainties remain, particularly relating to estimates of natural variability.","author":[{"dropping-particle":"","family":"Santer","given":"B D","non-dropping-particle":"","parse-names":false,"suffix":""},{"dropping-particle":"","family":"Taylor","given":"K E","non-dropping-particle":"","parse-names":false,"suffix":""},{"dropping-particle":"","family":"Wigley","given":"T M L","non-dropping-particle":"","parse-names":false,"suffix":""},{"dropping-particle":"","family":"Johns","given":"T C","non-dropping-particle":"","parse-names":false,"suffix":""},{"dropping-particle":"","family":"Jones","given":"P D","non-dropping-particle":"","parse-names":false,"suffix":""},{"dropping-particle":"","family":"Karoly","given":"D J","non-dropping-particle":"","parse-names":false,"suffix":""},{"dropping-particle":"","family":"Mitchell","given":"J F B","non-dropping-particle":"","parse-names":false,"suffix":""},{"dropping-particle":"","family":"Oort","given":"A H","non-dropping-particle":"","parse-names":false,"suffix":""},{"dropping-particle":"","family":"Penner","given":"J E","non-dropping-particle":"","parse-names":false,"suffix":""},{"dropping-particle":"","family":"Ramaswamy","given":"V","non-dropping-particle":"","parse-names":false,"suffix":""},{"dropping-particle":"","family":"Schwarzkopf","given":"M D","non-dropping-particle":"","parse-names":false,"suffix":""},{"dropping-particle":"","family":"Stouffer","given":"R J","non-dropping-particle":"","parse-names":false,"suffix":""},{"dropping-particle":"","family":"Tett","given":"S","non-dropping-particle":"","parse-names":false,"suffix":""}],"container-title":"Nature","id":"ITEM-1","issue":"6586","issued":{"date-parts":[["1996"]]},"language":"English","note":"ISI Document Delivery No.: UV473\nTimes Cited: 323\nCited Reference Count: 59\nSanter, BD Taylor, KE Wigley, TML Johns, TC Jones, PD Karoly, DJ Mitchell, JFB Oort, AH Penner, JE Ramaswamy, V Schwarzkopf, MD Stouffer, RJ Tett, S\nPenner, Joyce/J-1719-2012; Jones, Philip/C-8718-2009; Wigley, Tom/B-4705-2008; Tett, Simon F. B./B-1504-2013; Santer, Benjamin D/F-9781-2011; Taylor, Karl/F-7290-2011; Karoly, David J/C-8262-2011\nJones, Philip/0000-0001-5032-5493; Tett, Simon F. B./0000-0001-7526-560X; Taylor, Karl/0000-0002-6491-2135; Karoly, David J/0000-0002-8671-2994\n337\n5\n81\nNature publishing group\nLondon","page":"39-46","publisher-place":"LAWRENCE LIVERMORE NATL LAB, DIV ATMOSPHER SCI, LIVERMORE, CA 94550 USA. NATL CTR ATMOSPHER RES, BOULDER, CO 80307 USA. METEOROL OFF, HADLEY CTR CLIMATE PREDICT &amp; RES, BRACKNELL RG12 2SY, BERKS, ENGLAND. UNIV E ANGLIA, CLIMAT RES UNIT, NORWICH NR4 7TJ, NO","title":"A search for human influences on the thermal structure of the atmosphere","type":"article-journal","volume":"382"},"uris":["http://www.mendeley.com/documents/?uuid=0057aaca-decc-442a-8bea-7f630be8ce13"]}],"mendeley":{"formattedCitation":"[1]","plainTextFormattedCitation":"[1]","previouslyFormattedCitation":"[1]"},"properties":{"noteIndex":0},"schema":"https://github.com/citation-style-language/schema/raw/master/csl-citation.json"}</w:instrText>
      </w:r>
      <w:r w:rsidR="000E67EC" w:rsidRPr="008401CA">
        <w:fldChar w:fldCharType="separate"/>
      </w:r>
      <w:r w:rsidR="000E67EC" w:rsidRPr="008401CA">
        <w:rPr>
          <w:noProof/>
        </w:rPr>
        <w:t>[1]</w:t>
      </w:r>
      <w:r w:rsidR="000E67EC" w:rsidRPr="008401CA">
        <w:fldChar w:fldCharType="end"/>
      </w:r>
      <w:r w:rsidR="000E67EC" w:rsidRPr="008401CA">
        <w:fldChar w:fldCharType="begin" w:fldLock="1"/>
      </w:r>
      <w:r w:rsidR="000E67EC" w:rsidRPr="008401CA">
        <w:instrText>ADDIN CSL_CITATION {"citationItems":[{"id":"ITEM-1","itemData":{"DOI":"10.1080/14693062.2017.1397495","ISSN":"1469-3062","abstract":"This article identifies and quantifies the 10 most important benchmarks for climate action to be taken by 2020-2025 to keep the window open for a 1.5 degrees C-consistent GHG emission pathway. We conducted a comprehensive review of existing emissions scenarios, scanned all sectors and the respective necessary transitions, and distilled the most important short-term benchmarks for action in line with the long-term perspective of the required global low-carbon transition. Owing to the limited carbon budget, combined with the inertia of existing systems, global energy economic models find only limited pathways to stay on track for a 1.5 degrees C world consistent with the long-term temperature goal of the Paris Agreement. The identified benchmarks include: Sustain the current growth rate of renewables and other zero and low-carbon power generation until 2025 to reach 100% share by 2050; No new coal power plants, reduce emissions from existing coal fleet by 30% by 2025; Last fossil fuel passenger car sold by 2035-2050; Develop and agree on a 1.5 degrees C-consistent vision for aviation and shipping; All new buildings fossil-free and near-zero energy by 2020; Increase building renovation rates from less than 1% in 2015 to 5% by 2020; All new installations in emissions-intensive sectors low-carbon after 2020, maximize material efficiency; Reduce emissions from forestry and other land use to 95% below 2010 levels by 2030, stop net deforestation by 2025; Keep agriculture emissions at or below current levels, establish and disseminate regional best practice, ramp up research; Accelerate research and planning for negative emission technology deployment.","author":[{"dropping-particle":"","family":"Kuramochi","given":"T","non-dropping-particle":"","parse-names":false,"suffix":""},{"dropping-particle":"","family":"Hohne","given":"N","non-dropping-particle":"","parse-names":false,"suffix":""},{"dropping-particle":"","family":"Schaeffer","given":"M","non-dropping-particle":"","parse-names":false,"suffix":""},{"dropping-particle":"","family":"Cantzler","given":"J","non-dropping-particle":"","parse-names":false,"suffix":""},{"dropping-particle":"","family":"Hare","given":"B","non-dropping-particle":"","parse-names":false,"suffix":""},{"dropping-particle":"","family":"Deng","given":"Y","non-dropping-particle":"","parse-names":false,"suffix":""},{"dropping-particle":"","family":"Sterl","given":"S","non-dropping-particle":"","parse-names":false,"suffix":""},{"dropping-particle":"","family":"Hagemann","given":"M","non-dropping-particle":"","parse-names":false,"suffix":""},{"dropping-particle":"","family":"Rocha","given":"M","non-dropping-particle":"","parse-names":false,"suffix":""},{"dropping-particle":"","family":"Yanguas-Parra","given":"P A","non-dropping-particle":"","parse-names":false,"suffix":""},{"dropping-particle":"","family":"Mir","given":"G U R","non-dropping-particle":"","parse-names":false,"suffix":""},{"dropping-particle":"","family":"Wong","given":"L","non-dropping-particle":"","parse-names":false,"suffix":""},{"dropping-particle":"","family":"El-Laboudy","given":"T","non-dropping-particle":"","parse-names":false,"suffix":""},{"dropping-particle":"","family":"Wouters","given":"K","non-dropping-particle":"","parse-names":false,"suffix":""},{"dropping-particle":"","family":"Deryng","given":"D","non-dropping-particle":"","parse-names":false,"suffix":""},{"dropping-particle":"","family":"Blok","given":"K","non-dropping-particle":"","parse-names":false,"suffix":""}],"container-title":"Climate Policy","id":"ITEM-1","issue":"3","issued":{"date-parts":[["2018"]]},"language":"English","note":"ISI Document Delivery No.: FZ0PU\nTimes Cited: 17\nCited Reference Count: 102\nKuramochi, Takeshi Hoehne, Niklas Schaeffer, Michiel Cantzler, Jasmin Hare, Bill Deng, Yvonne Sterl, Sebastian Hagemann, Markus Rocha, Marcia Yanguas-Parra, Paola Andrea Mir, Goher-Ur-Rehman Wong, Lindee El-Laboudy, Tarik Wouters, Karlien Deryng, Delphine Blok, Kornelis\nKuramochi, Takeshi/S-2407-2016\nKuramochi, Takeshi/0000-0002-3976-0133; Hare, William/0000-0003-1242-8250; Sterl, Sebastian/0000-0003-1078-5561; Hohne, Niklas/0000-0001-9246-8759\nClimateWorks Foundation [16-0937]; German Ministry for Environment, Nature Conservation, Buildings and Nuclear Safety (BMUB) via the International Climate Initiative [16_I_291_Global_A_CAT]\nThis research was funded by ClimateWorks Foundation [grant number 16-0937] and the German Ministry for Environment, Nature Conservation, Buildings and Nuclear Safety (BMUB) via the International Climate Initiative [grant number 16_I_291_Global_A_CAT].\n17\n5\n12\nTaylor &amp;amp; francis ltd\nAbingdon\n1752-7457\nSi","page":"287-305","publisher-place":"[Kuramochi, Takeshi; Hoehne, Niklas; Sterl, Sebastian; Hagemann, Markus] NewClimate Inst, Hof 20-26, D-50667 Cologne, Germany. [Hoehne, Niklas; Schaeffer, Michiel] Wageningen Univ &amp; Res Ctr, Environm Syst Anal Grp, Wageningen, Netherlands. [Schaeffer, Mic","title":"Ten key short-term sectoral benchmarks to limit warming to 1.5 degrees C","type":"article-journal","volume":"18"},"uris":["http://www.mendeley.com/documents/?uuid=977b24ac-ab6a-4838-a8cb-969a752cd656"]}],"mendeley":{"formattedCitation":"[2]","plainTextFormattedCitation":"[2]","previouslyFormattedCitation":"[2]"},"properties":{"noteIndex":0},"schema":"https://github.com/citation-style-language/schema/raw/master/csl-citation.json"}</w:instrText>
      </w:r>
      <w:r w:rsidR="000E67EC" w:rsidRPr="008401CA">
        <w:fldChar w:fldCharType="separate"/>
      </w:r>
      <w:r w:rsidR="000E67EC" w:rsidRPr="008401CA">
        <w:rPr>
          <w:noProof/>
        </w:rPr>
        <w:t>[2]</w:t>
      </w:r>
      <w:r w:rsidR="000E67EC" w:rsidRPr="008401CA">
        <w:fldChar w:fldCharType="end"/>
      </w:r>
      <w:r w:rsidR="000E67EC" w:rsidRPr="008401CA">
        <w:t xml:space="preserve"> </w:t>
      </w:r>
      <w:r w:rsidR="008F5B01" w:rsidRPr="008401CA">
        <w:t>International treaties such as the Kyoto Agreement and the Montreal Protocol have resulted in a near universal commitment from nations around the world to reduce the release of green-house gases and substances that act to deplete the ozone layer.</w:t>
      </w:r>
      <w:r w:rsidR="008623C4" w:rsidRPr="008401CA">
        <w:fldChar w:fldCharType="begin" w:fldLock="1"/>
      </w:r>
      <w:r w:rsidR="008623C4" w:rsidRPr="008401CA">
        <w:instrText>ADDIN CSL_CITATION {"citationItems":[{"id":"ITEM-1","itemData":{"abstract":"The Kyoto Protocol is an international agreement linked to the United Nations Framework Convention on Climate Change, which commits its Parties by setting internationally binding emission reduction targets.","author":[{"dropping-particle":"","family":"UNFCCC","given":"","non-dropping-particle":"","parse-names":false,"suffix":""}],"container-title":"United Nations Climate Change","id":"ITEM-1","issued":{"date-parts":[["2019"]]},"title":"What is the Kyoto Protocol?","type":"webpage"},"uris":["http://www.mendeley.com/documents/?uuid=663628ac-ec98-4141-b94c-2cda9f7cf783"]}],"mendeley":{"formattedCitation":"[3]","plainTextFormattedCitation":"[3]","previouslyFormattedCitation":"[3]"},"properties":{"noteIndex":0},"schema":"https://github.com/citation-style-language/schema/raw/master/csl-citation.json"}</w:instrText>
      </w:r>
      <w:r w:rsidR="008623C4" w:rsidRPr="008401CA">
        <w:fldChar w:fldCharType="separate"/>
      </w:r>
      <w:r w:rsidR="008623C4" w:rsidRPr="008401CA">
        <w:rPr>
          <w:noProof/>
        </w:rPr>
        <w:t>[3]</w:t>
      </w:r>
      <w:r w:rsidR="008623C4" w:rsidRPr="008401CA">
        <w:fldChar w:fldCharType="end"/>
      </w:r>
      <w:r w:rsidR="008623C4" w:rsidRPr="008401CA">
        <w:fldChar w:fldCharType="begin" w:fldLock="1"/>
      </w:r>
      <w:r w:rsidR="001D0AF8" w:rsidRPr="008401CA">
        <w:instrText>ADDIN CSL_CITATION {"citationItems":[{"id":"ITEM-1","itemData":{"DOI":"10.1073/pnas.0610328104","ISSN":"00278424","abstract":"The 1987 Montreal Protocol on Substances that Deplete the Ozone Layer is a landmark agreement that has successfully reduced the global production, consumption, and emissions of ozone-depleting substances (ODSs). ODSs are also greenhouse gases that contribute to the radiative forcing of climate change. Using historical ODSs emissions and scenarios of potential emissions, we show that the ODS contribution to radiative forcing most likely would have been much larger if the ODS link to stratospheric ozone depletion had not been recognized in 1974 and followed by a series of regulations. The climate protection already achieved by the Montreal Protocol alone is far larger than the reduction target of the first commitment period of the Kyoto Protocol. Additional climate benefits that are significant compared with the Kyoto Protocol reduction target could be achieved by actions under the Montreal Protocol, by managing the emissions of substitute fluorocarbon gases and/or implementing alternative gases with lower global warming potentials. © 2007 by The National Academy of Sciences of the USA.","author":[{"dropping-particle":"","family":"Velders","given":"Guus J.M.","non-dropping-particle":"","parse-names":false,"suffix":""},{"dropping-particle":"","family":"Andersen","given":"Stephen O.","non-dropping-particle":"","parse-names":false,"suffix":""},{"dropping-particle":"","family":"Daniel","given":"John S.","non-dropping-particle":"","parse-names":false,"suffix":""},{"dropping-particle":"","family":"Fahey","given":"David W.","non-dropping-particle":"","parse-names":false,"suffix":""},{"dropping-particle":"","family":"McFarland","given":"Mack","non-dropping-particle":"","parse-names":false,"suffix":""}],"container-title":"Proceedings of the National Academy of Sciences of the United States of America","id":"ITEM-1","issued":{"date-parts":[["2007"]]},"title":"The importance of the Montreal Protocol in protecting climate","type":"article-journal"},"uris":["http://www.mendeley.com/documents/?uuid=0e9f7541-52ab-44e2-8958-43975c398d97"]}],"mendeley":{"formattedCitation":"[4]","plainTextFormattedCitation":"[4]","previouslyFormattedCitation":"[4]"},"properties":{"noteIndex":0},"schema":"https://github.com/citation-style-language/schema/raw/master/csl-citation.json"}</w:instrText>
      </w:r>
      <w:r w:rsidR="008623C4" w:rsidRPr="008401CA">
        <w:fldChar w:fldCharType="separate"/>
      </w:r>
      <w:r w:rsidR="008623C4" w:rsidRPr="008401CA">
        <w:rPr>
          <w:noProof/>
        </w:rPr>
        <w:t>[4]</w:t>
      </w:r>
      <w:r w:rsidR="008623C4" w:rsidRPr="008401CA">
        <w:fldChar w:fldCharType="end"/>
      </w:r>
      <w:r w:rsidR="008F5B01" w:rsidRPr="008401CA">
        <w:t xml:space="preserve">  </w:t>
      </w:r>
    </w:p>
    <w:p w14:paraId="75C2AC04" w14:textId="77777777" w:rsidR="008F5B01" w:rsidRPr="008401CA" w:rsidRDefault="008F5B01" w:rsidP="008401CA">
      <w:pPr>
        <w:pStyle w:val="NoSpacing"/>
        <w:spacing w:line="360" w:lineRule="auto"/>
        <w:jc w:val="both"/>
      </w:pPr>
    </w:p>
    <w:p w14:paraId="5B83B120" w14:textId="75F8532E" w:rsidR="00BB6396" w:rsidRPr="008401CA" w:rsidRDefault="00B1363D" w:rsidP="008401CA">
      <w:pPr>
        <w:pStyle w:val="NoSpacing"/>
        <w:spacing w:line="360" w:lineRule="auto"/>
        <w:jc w:val="both"/>
      </w:pPr>
      <w:r w:rsidRPr="008401CA">
        <w:t xml:space="preserve">Volatile inhalational anaesthetic agents </w:t>
      </w:r>
      <w:r w:rsidR="00566314" w:rsidRPr="008401CA">
        <w:t>are halogenated fluorocarbons which have greenhouse warming potential (GWP). They are now detectable even in the atmosphere in the arctic at significant levels.</w:t>
      </w:r>
      <w:r w:rsidR="00566314" w:rsidRPr="008401CA">
        <w:fldChar w:fldCharType="begin" w:fldLock="1"/>
      </w:r>
      <w:r w:rsidR="001D0AF8" w:rsidRPr="008401CA">
        <w:instrText>ADDIN CSL_CITATION {"citationItems":[{"id":"ITEM-1","itemData":{"DOI":"10.1002/2014gl062785","ISSN":"0094-8276","abstract":"AbstractModern halogenated inhalation anesthetics undergo little metabolization during clinical application and evaporate almost completely to the atmosphere. Based on their first measurements in a range of environments, from urban areas to the pristine Antarctic environment, we detect a rapid accumulation and ubiquitous presence of isoflurane, desflurane, and sevoflurane in the global atmosphere. Over the past decade, their abundances in the atmosphere have increased to global mean mole fractions in 2014 of 0.097ppt, 0.30ppt, and 0.13ppt (parts per trillion, 10−12, in dry air), respectively. Emissions of these long-lived greenhouse gases inferred from the observations suggest a global combined release to the atmosphere of 3.1 ± 0.6 million t CO2 equivalent in 2014 of which ≈80% stems from desflurane. We also report on halothane, a previously widely used anesthetic. Its global mean mole fraction has declined to 9.2ppq (parts per quadrillion, 10−15) by 2014. However, the inferred present usage is still 280 ±120t yr−1.","author":[{"dropping-particle":"","family":"Vollmer","given":"Martin K","non-dropping-particle":"","parse-names":false,"suffix":""},{"dropping-particle":"","family":"Rhee","given":"Tae Siek","non-dropping-particle":"","parse-names":false,"suffix":""},{"dropping-particle":"","family":"Rigby","given":"Matt","non-dropping-particle":"","parse-names":false,"suffix":""},{"dropping-particle":"","family":"Hofstetter","given":"Doris","non-dropping-particle":"","parse-names":false,"suffix":""},{"dropping-particle":"","family":"Hill","given":"Matthias","non-dropping-particle":"","parse-names":false,"suffix":""},{"dropping-particle":"","family":"Schoenenberger","given":"Fabian","non-dropping-particle":"","parse-names":false,"suffix":""},{"dropping-particle":"","family":"Reimann","given":"Stefan","non-dropping-particle":"","parse-names":false,"suffix":""}],"container-title":"Geophysical Research Letters","id":"ITEM-1","issue":"5","issued":{"date-parts":[["2015"]]},"page":"1606-1611","title":"Modern inhalation anesthetics: Potent greenhouse gases in the global atmosphere","type":"article-journal","volume":"42"},"uris":["http://www.mendeley.com/documents/?uuid=317d6d4a-e768-4caa-a9ae-49b7534fbe27"]}],"mendeley":{"formattedCitation":"[5]","plainTextFormattedCitation":"[5]","previouslyFormattedCitation":"[5]"},"properties":{"noteIndex":0},"schema":"https://github.com/citation-style-language/schema/raw/master/csl-citation.json"}</w:instrText>
      </w:r>
      <w:r w:rsidR="00566314" w:rsidRPr="008401CA">
        <w:fldChar w:fldCharType="separate"/>
      </w:r>
      <w:r w:rsidR="001D0AF8" w:rsidRPr="008401CA">
        <w:rPr>
          <w:noProof/>
        </w:rPr>
        <w:t>[5]</w:t>
      </w:r>
      <w:r w:rsidR="00566314" w:rsidRPr="008401CA">
        <w:fldChar w:fldCharType="end"/>
      </w:r>
      <w:r w:rsidR="00566314" w:rsidRPr="008401CA">
        <w:t xml:space="preserve"> </w:t>
      </w:r>
      <w:r w:rsidR="008F5B01" w:rsidRPr="008401CA">
        <w:t>Each year, more than 310 million anaesthetics are given worldwide and operating theatres are an appreciable source of greenhouse gas emissions.</w:t>
      </w:r>
      <w:r w:rsidR="000E67EC" w:rsidRPr="008401CA">
        <w:fldChar w:fldCharType="begin" w:fldLock="1"/>
      </w:r>
      <w:r w:rsidR="001D0AF8" w:rsidRPr="008401CA">
        <w:instrText>ADDIN CSL_CITATION {"citationItems":[{"id":"ITEM-1","itemData":{"DOI":"10.1016/s0140-6736(15)60806-6","ISSN":"0140-6736","abstract":"BACKGROUND: It was previously estimated that 234.2 million operations were performed worldwide in 2004. The association between surgical rates and population health outcomes is not clear. We re-estimated global surgical volume to track changes over time and assess rates associated with healthy populations. METHODS: We gathered demographic, health, and economic data for 194 WHO member states. Surgical volumes were obtained from published studies and other reports from 2005 onwards. We estimated rates of surgery for all countries without available data based on health expenditure in 2012 and assessed the proportion of surgery comprised by caesarean delivery. The rate of surgery was plotted against life expectancy to describe the association between surgical care and this health indicator. FINDINGS: We identified 66 countries reporting surgical data between 2005 and 2013. We estimate that 312.9 million operations (95% CI 266.2-359.5) took place in 2012-a 33.6% increase over 8 years; the largest proportional increase occurred in countries spending US$400 or less per capita on health care. Caesarean delivery comprised 29.8% (5.8 million operations) of the total surgical volume in poor health expenditure countries compared with 10.8% (7.8 million operations) in low health expenditure countries and 2.7% (5.1 million operations) in high health expenditure countries. We noted a correlation between increased life expectancy and increased surgical rates up to 1533 operations per 100 000 people, with significant but less dramatic improvement above this rate. INTERPRETATION: Surgical volume is large and continues to grow in all economic environments. A single procedure-caesarean delivery-comprised almost a third of surgical volume in the most resource-limited settings. Surgical care is an essential part of health care and is associated with increased life expectancy, yet many low-income countries fail to achieve basic levels of service. Improvements in capacity and delivery of surgical services must be a major component of health system strengthening. FUNDING: None.","author":[{"dropping-particle":"","family":"Weiser","given":"T G","non-dropping-particle":"","parse-names":false,"suffix":""},{"dropping-particle":"","family":"Haynes","given":"A B","non-dropping-particle":"","parse-names":false,"suffix":""},{"dropping-particle":"","family":"Molina","given":"G","non-dropping-particle":"","parse-names":false,"suffix":""},{"dropping-particle":"","family":"Lipsitz","given":"S R","non-dropping-particle":"","parse-names":false,"suffix":""},{"dropping-particle":"","family":"Esquivel","given":"M M","non-dropping-particle":"","parse-names":false,"suffix":""},{"dropping-particle":"","family":"Uribe-Leitz","given":"T","non-dropping-particle":"","parse-names":false,"suffix":""},{"dropping-particle":"","family":"Fu","given":"R","non-dropping-particle":"","parse-names":false,"suffix":""},{"dropping-particle":"","family":"Azad","given":"T","non-dropping-particle":"","parse-names":false,"suffix":""},{"dropping-particle":"","family":"Chao","given":"T E","non-dropping-particle":"","parse-names":false,"suffix":""},{"dropping-particle":"","family":"Berry","given":"W R","non-dropping-particle":"","parse-names":false,"suffix":""},{"dropping-particle":"","family":"Gawande","given":"A A","non-dropping-particle":"","parse-names":false,"suffix":""}],"container-title":"Lancet","edition":"2015/08/28","id":"ITEM-1","issued":{"date-parts":[["2015"]]},"language":"eng","note":"1474-547x\nWeiser, Thomas G\nHaynes, Alex B\nMolina, George\nLipsitz, Stuart R\nEsquivel, Micaela M\nUribe-Leitz, Tarsicio\nFu, Rui\nAzad, Tej\nChao, Tiffany E\nBerry, William R\nGawande, Atul A\nJournal Article\nEngland\nLancet. 2015 Apr 27;385 Suppl 2:S11. doi: 10.1016/S0140-6736(15)60806-6. Epub 2015 Apr 26.","page":"S11","publisher-place":"Department of Surgery, Stanford University, School of Medicine, CA, USA. Electronic address: tweiser@stanford.edu. Ariadne Labs, Boston, MA, USA; Department of Surgery, Massachusetts General Hospital, Boston, MA, USA; Harvard T H Chan School of Public Hea","title":"Estimate of the global volume of surgery in 2012: an assessment supporting improved health outcomes","type":"article-journal","volume":"385 Suppl "},"uris":["http://www.mendeley.com/documents/?uuid=13415259-a633-477b-af25-cc33ad48ba38"]}],"mendeley":{"formattedCitation":"[6]","plainTextFormattedCitation":"[6]","previouslyFormattedCitation":"[6]"},"properties":{"noteIndex":0},"schema":"https://github.com/citation-style-language/schema/raw/master/csl-citation.json"}</w:instrText>
      </w:r>
      <w:r w:rsidR="000E67EC" w:rsidRPr="008401CA">
        <w:fldChar w:fldCharType="separate"/>
      </w:r>
      <w:r w:rsidR="001D0AF8" w:rsidRPr="008401CA">
        <w:rPr>
          <w:noProof/>
        </w:rPr>
        <w:t>[6]</w:t>
      </w:r>
      <w:r w:rsidR="000E67EC" w:rsidRPr="008401CA">
        <w:fldChar w:fldCharType="end"/>
      </w:r>
      <w:r w:rsidR="000E67EC" w:rsidRPr="008401CA">
        <w:fldChar w:fldCharType="begin" w:fldLock="1"/>
      </w:r>
      <w:r w:rsidR="001D0AF8" w:rsidRPr="008401CA">
        <w:instrText>ADDIN CSL_CITATION {"citationItems":[{"id":"ITEM-1","itemData":{"abstract":"BACKGROUNDClimate change is a major global public health priority. The delivery of health-care services generates considerable greenhouse gas emissions. Operating theatres are a resource-intensive subsector of health care, with high energy demands, consumable throughput, and waste volumes. The environmental impacts of these activities are generally accepted as necessary for the provision of quality care, but have not been examined in detail. In this study, we estimate the carbon footprint of operating theatres in hospitals in three health systems.METHODSSurgical suites at three academic quaternary-care hospitals were studied over a 1-year period in Canada (Vancouver General Hospital, VGH), the USA (University of Minnesota Medical Center, UMMC), and the UK (John Radcliffe Hospital, JRH). Greenhouse gas emissions were estimated using primary activity data and applicable emissions factors, and reported according to the Greenhouse Gas Protocol.FINDINGSSite greenhouse gas evaluations were done between Jan 1 and Dec 31, 2011. The surgical suites studied were found to have annual carbon footprints of 5 187 936 kg of CO2 equivalents (CO2e) at JRH, 4 181 864 kg of CO2e at UMMC, and 3 218 907 kg of CO2e at VGH. On a per unit area basis, JRH had the lowest carbon intensity at 1702 kg CO2e/m2, compared with 1951 kg CO2e/m2 at VGH and 2284 kg CO2e/m2 at UMMC. Based on case volumes at all three sites, VGH had the lowest carbon intensity per operation at 146 kg CO2e per case compared with 173 kg CO2e per case at JRH and 232 kg CO2e per case at UMMC. Anaesthetic gases and energy consumption were the largest sources of greenhouse gas emissions. Preferential use of desflurane resulted in a ten-fold difference in anaesthetic gas emissions between hospitals. Theatres were found to be three to six times more energy-intense than the hospital as a whole, primarily due to heating, ventilation, and air conditioning requirements. Overall, the carbon footprint of surgery in the three countries studied is estimated to be 9·7 million tonnes of CO2e per year.INTERPRETATIONOperating theatres are an appreciable source of greenhouse gas emissions. Emissions reduction strategies including avoidance of desflurane and occupancy-based ventilation have the potential to lessen the climate impact of surgical services without compromising patient safety.FUNDINGNone.","author":[{"dropping-particle":"","family":"MacNeill","given":"Andrea J","non-dropping-particle":"","parse-names":false,"suffix":""},{"dropping-particle":"","family":"Lillywhite","given":"Robert","non-dropping-particle":"","parse-names":false,"suffix":""},{"dropping-particle":"","family":"Brown","given":"Carl J","non-dropping-particle":"","parse-names":false,"suffix":""}],"container-title":"The Lancet. Planetary health","id":"ITEM-1","issue":"9","issued":{"date-parts":[["2017"]]},"page":"e381","title":"The impact of surgery on global climate: a carbon footprinting study of operating theatres in three health systems.","type":"article-journal","volume":"1"},"uris":["http://www.mendeley.com/documents/?uuid=f2a120cc-f111-4389-a446-b5a35bc2f2ac"]}],"mendeley":{"formattedCitation":"[7]","plainTextFormattedCitation":"[7]","previouslyFormattedCitation":"[7]"},"properties":{"noteIndex":0},"schema":"https://github.com/citation-style-language/schema/raw/master/csl-citation.json"}</w:instrText>
      </w:r>
      <w:r w:rsidR="000E67EC" w:rsidRPr="008401CA">
        <w:fldChar w:fldCharType="separate"/>
      </w:r>
      <w:r w:rsidR="001D0AF8" w:rsidRPr="008401CA">
        <w:rPr>
          <w:noProof/>
        </w:rPr>
        <w:t>[7]</w:t>
      </w:r>
      <w:r w:rsidR="000E67EC" w:rsidRPr="008401CA">
        <w:fldChar w:fldCharType="end"/>
      </w:r>
      <w:r w:rsidR="000E67EC" w:rsidRPr="008401CA">
        <w:t xml:space="preserve"> </w:t>
      </w:r>
      <w:r w:rsidR="00566314" w:rsidRPr="008401CA">
        <w:t xml:space="preserve">Volatile inhalational anaesthetic agents </w:t>
      </w:r>
      <w:r w:rsidR="008F5B01" w:rsidRPr="008401CA">
        <w:t xml:space="preserve">are </w:t>
      </w:r>
      <w:r w:rsidR="00566314" w:rsidRPr="008401CA">
        <w:t xml:space="preserve">little </w:t>
      </w:r>
      <w:r w:rsidR="008F5B01" w:rsidRPr="008401CA">
        <w:t xml:space="preserve">changed by </w:t>
      </w:r>
      <w:r w:rsidR="00566314" w:rsidRPr="008401CA">
        <w:t xml:space="preserve">human </w:t>
      </w:r>
      <w:r w:rsidR="008F5B01" w:rsidRPr="008401CA">
        <w:t>metabolism and</w:t>
      </w:r>
      <w:r w:rsidR="00566314" w:rsidRPr="008401CA">
        <w:t xml:space="preserve"> excreted through the lungs. I</w:t>
      </w:r>
      <w:r w:rsidR="008F5B01" w:rsidRPr="008401CA">
        <w:t xml:space="preserve">n modern operating theatres, </w:t>
      </w:r>
      <w:r w:rsidR="00566314" w:rsidRPr="008401CA">
        <w:t xml:space="preserve">they </w:t>
      </w:r>
      <w:r w:rsidR="008F5B01" w:rsidRPr="008401CA">
        <w:t xml:space="preserve">are scavenged from the circulating </w:t>
      </w:r>
      <w:r w:rsidR="00566314" w:rsidRPr="008401CA">
        <w:t xml:space="preserve">room </w:t>
      </w:r>
      <w:r w:rsidR="008F5B01" w:rsidRPr="008401CA">
        <w:t xml:space="preserve">air and eliminated directly into the atmosphere. </w:t>
      </w:r>
      <w:r w:rsidR="00A84D83" w:rsidRPr="008401CA">
        <w:t>However,</w:t>
      </w:r>
      <w:r w:rsidRPr="008401CA">
        <w:t xml:space="preserve"> whil</w:t>
      </w:r>
      <w:r w:rsidR="00A84D83" w:rsidRPr="008401CA">
        <w:t>st the ozone depletion potential</w:t>
      </w:r>
      <w:r w:rsidRPr="008401CA">
        <w:t xml:space="preserve"> </w:t>
      </w:r>
      <w:r w:rsidR="00A84D83" w:rsidRPr="008401CA">
        <w:t xml:space="preserve">from halogenated green-house gases such as Desflurane, Sevoflurane and Isoflurane </w:t>
      </w:r>
      <w:r w:rsidRPr="008401CA">
        <w:t xml:space="preserve">is </w:t>
      </w:r>
      <w:r w:rsidR="00A84D83" w:rsidRPr="008401CA">
        <w:t>evident</w:t>
      </w:r>
      <w:r w:rsidRPr="008401CA">
        <w:t xml:space="preserve">, </w:t>
      </w:r>
      <w:r w:rsidR="008F5B01" w:rsidRPr="008401CA">
        <w:t xml:space="preserve">actual </w:t>
      </w:r>
      <w:r w:rsidRPr="008401CA">
        <w:t xml:space="preserve">estimates </w:t>
      </w:r>
      <w:r w:rsidR="00566314" w:rsidRPr="008401CA">
        <w:t xml:space="preserve">of such an effect </w:t>
      </w:r>
      <w:r w:rsidRPr="008401CA">
        <w:t xml:space="preserve">are </w:t>
      </w:r>
      <w:r w:rsidR="00566314" w:rsidRPr="008401CA">
        <w:t>pure</w:t>
      </w:r>
      <w:r w:rsidRPr="008401CA">
        <w:t>ly speculative</w:t>
      </w:r>
      <w:r w:rsidR="00566314" w:rsidRPr="008401CA">
        <w:t xml:space="preserve">. </w:t>
      </w:r>
    </w:p>
    <w:p w14:paraId="31CDD444" w14:textId="77777777" w:rsidR="00BB6396" w:rsidRPr="008401CA" w:rsidRDefault="00BB6396" w:rsidP="008401CA">
      <w:pPr>
        <w:pStyle w:val="NoSpacing"/>
        <w:spacing w:line="360" w:lineRule="auto"/>
        <w:jc w:val="both"/>
      </w:pPr>
    </w:p>
    <w:p w14:paraId="76A55D31" w14:textId="38E6D9BC" w:rsidR="00142AB4" w:rsidRPr="008401CA" w:rsidRDefault="00566314" w:rsidP="008401CA">
      <w:pPr>
        <w:pStyle w:val="NoSpacing"/>
        <w:spacing w:line="360" w:lineRule="auto"/>
        <w:jc w:val="both"/>
      </w:pPr>
      <w:r w:rsidRPr="008401CA">
        <w:t>T</w:t>
      </w:r>
      <w:r w:rsidR="00A84D83" w:rsidRPr="008401CA">
        <w:t xml:space="preserve">he relative environmental merits of alternative anaesthetic techniques remains uncertain. </w:t>
      </w:r>
      <w:r w:rsidR="001D0AF8" w:rsidRPr="008401CA">
        <w:t xml:space="preserve">These merits may be classified according to the “cradle to grave” analysis of drugs used, and can include the environmental impact of the plastic packaging, methods of disposal and transport of components required to manufacture the drug. </w:t>
      </w:r>
      <w:r w:rsidR="00BB6396" w:rsidRPr="008401CA">
        <w:t>The production and entire lifecycle of sterile intravenous agents also has a climate impact and may also represent a significant carbon footprint.</w:t>
      </w:r>
      <w:r w:rsidR="00BB6396" w:rsidRPr="008401CA">
        <w:fldChar w:fldCharType="begin" w:fldLock="1"/>
      </w:r>
      <w:r w:rsidR="001D0AF8" w:rsidRPr="008401CA">
        <w:instrText>ADDIN CSL_CITATION {"citationItems":[{"id":"ITEM-1","itemData":{"DOI":"10.1007/978-3-319-66981-6_9","ISBN":"978-3-319-66981-6","abstract":"Despite growing concerns over the environmental impacts of pharmaceuticals, the use of Life Cycle Assessment (LCA) within the pharma-sector remains quite fragmentary. The aim of this paper is to present gaps and challenges, impeding a full adoption of LCA in the pharma-sector. A review of existing pharma-LCAs revealed a considerable degree of inconsistency and inhomogeneity in their methodological choices, highlighting the need for product category rules (PCRs) for the pharmaceutical industry to harmonize and facilitate the future use of LCA in that sector. Additionally, existing life cycle impact assessment (LCIA) methods fail to model several pharma-specific impact pathways (e.g. endocrine disruption). Preliminary thoughts on the development of pharma-PCRs and the inclusion of pharma-specific impact pathways into LCIA are presented, providing important stimulus for further research.","author":[{"dropping-particle":"","family":"Emara","given":"Yasmine","non-dropping-particle":"","parse-names":false,"suffix":""},{"dropping-particle":"","family":"Siegert","given":"Marc-William","non-dropping-particle":"","parse-names":false,"suffix":""},{"dropping-particle":"","family":"Lehmann","given":"Annekatrin","non-dropping-particle":"","parse-names":false,"suffix":""},{"dropping-particle":"","family":"Finkbeiner","given":"Matthias","non-dropping-particle":"","parse-names":false,"suffix":""}],"container-title":"Designing Sustainable Technologies, Products and Policies: From Science to Innovation","editor":[{"dropping-particle":"","family":"Benetto","given":"Enrico","non-dropping-particle":"","parse-names":false,"suffix":""},{"dropping-particle":"","family":"Gericke","given":"Kilian","non-dropping-particle":"","parse-names":false,"suffix":""},{"dropping-particle":"","family":"Guiton","given":"Mélanie","non-dropping-particle":"","parse-names":false,"suffix":""}],"id":"ITEM-1","issued":{"date-parts":[["2018"]]},"page":"79-88","publisher":"Springer International Publishing","publisher-place":"Cham","title":"Life Cycle Management in the Pharmaceutical Industry Using an Applicable and Robust LCA-Based Environmental Sustainability Assessment Approach","type":"chapter"},"uris":["http://www.mendeley.com/documents/?uuid=c2ad2fd2-1152-4f89-ba7d-161a89c38c6c"]}],"mendeley":{"formattedCitation":"[8]","plainTextFormattedCitation":"[8]","previouslyFormattedCitation":"[8]"},"properties":{"noteIndex":0},"schema":"https://github.com/citation-style-language/schema/raw/master/csl-citation.json"}</w:instrText>
      </w:r>
      <w:r w:rsidR="00BB6396" w:rsidRPr="008401CA">
        <w:fldChar w:fldCharType="separate"/>
      </w:r>
      <w:r w:rsidR="00BB6396" w:rsidRPr="008401CA">
        <w:rPr>
          <w:noProof/>
        </w:rPr>
        <w:t>[8]</w:t>
      </w:r>
      <w:r w:rsidR="00BB6396" w:rsidRPr="008401CA">
        <w:fldChar w:fldCharType="end"/>
      </w:r>
      <w:r w:rsidR="00BB6396" w:rsidRPr="008401CA">
        <w:t xml:space="preserve"> </w:t>
      </w:r>
      <w:r w:rsidR="008F5B01" w:rsidRPr="008401CA">
        <w:t xml:space="preserve">Nevertheless, with increasing awareness of the potential environmental impact of anaesthetic volatile drugs, calls for a reduction in their use and the use of alternative intravenous anaesthetic agents, </w:t>
      </w:r>
      <w:r w:rsidR="00BB6396" w:rsidRPr="008401CA">
        <w:t>especially p</w:t>
      </w:r>
      <w:r w:rsidR="008F5B01" w:rsidRPr="008401CA">
        <w:t>ropofol, are increasingly made in a bid to reduce the anthropogenic effects of anaesthesia</w:t>
      </w:r>
      <w:r w:rsidR="001D0AF8" w:rsidRPr="008401CA">
        <w:t xml:space="preserve"> </w:t>
      </w:r>
      <w:r w:rsidR="001D0AF8" w:rsidRPr="008401CA">
        <w:fldChar w:fldCharType="begin" w:fldLock="1"/>
      </w:r>
      <w:r w:rsidR="001D0AF8" w:rsidRPr="008401CA">
        <w:instrText>ADDIN CSL_CITATION {"citationItems":[{"id":"ITEM-1","itemData":{"URL":"https://anaesthetists.org/Home/Resources-publications/Environment/Our-environmental-work/Why-it-matters-facts-figures","container-title":"Association of Anaesthetists","id":"ITEM-1","issued":{"date-parts":[["2019"]]},"title":"Environmental Strategy Statement, Association of Anaesthetists","type":"webpage"},"uris":["http://www.mendeley.com/documents/?uuid=1a90c29e-15da-4d8f-a88e-469988300b33"]}],"mendeley":{"formattedCitation":"[9]","plainTextFormattedCitation":"[9]","previouslyFormattedCitation":"[9]"},"properties":{"noteIndex":0},"schema":"https://github.com/citation-style-language/schema/raw/master/csl-citation.json"}</w:instrText>
      </w:r>
      <w:r w:rsidR="001D0AF8" w:rsidRPr="008401CA">
        <w:fldChar w:fldCharType="separate"/>
      </w:r>
      <w:r w:rsidR="001D0AF8" w:rsidRPr="008401CA">
        <w:rPr>
          <w:noProof/>
        </w:rPr>
        <w:t>[9]</w:t>
      </w:r>
      <w:r w:rsidR="001D0AF8" w:rsidRPr="008401CA">
        <w:fldChar w:fldCharType="end"/>
      </w:r>
      <w:r w:rsidR="001D0AF8" w:rsidRPr="008401CA">
        <w:t xml:space="preserve"> </w:t>
      </w:r>
      <w:r w:rsidR="003B1261" w:rsidRPr="008401CA">
        <w:t xml:space="preserve"> </w:t>
      </w:r>
      <w:r w:rsidR="008F5B01" w:rsidRPr="008401CA">
        <w:t xml:space="preserve">. </w:t>
      </w:r>
      <w:r w:rsidR="00A84D83" w:rsidRPr="008401CA">
        <w:t xml:space="preserve"> </w:t>
      </w:r>
      <w:r w:rsidR="00BB6396" w:rsidRPr="008401CA">
        <w:t>Any change in anaesthetic practice must b</w:t>
      </w:r>
      <w:r w:rsidR="00B1363D" w:rsidRPr="008401CA">
        <w:t>e informed and based upon science rather than opinion</w:t>
      </w:r>
      <w:r w:rsidR="003B1261" w:rsidRPr="008401CA">
        <w:t xml:space="preserve"> if unintended anthropogenic consequences are to be avoided</w:t>
      </w:r>
      <w:r w:rsidR="00B1363D" w:rsidRPr="008401CA">
        <w:t xml:space="preserve">. </w:t>
      </w:r>
      <w:r w:rsidR="00BB6396" w:rsidRPr="008401CA">
        <w:t xml:space="preserve">Without such evidence, it will also be impossible to weigh the environmental merits of any given anaesthetic technique against outcomes for individual patients. We will perform a systematic </w:t>
      </w:r>
      <w:r w:rsidR="00B1363D" w:rsidRPr="008401CA">
        <w:t xml:space="preserve">review </w:t>
      </w:r>
      <w:r w:rsidR="00BB6396" w:rsidRPr="008401CA">
        <w:t xml:space="preserve">and </w:t>
      </w:r>
      <w:r w:rsidR="00B1363D" w:rsidRPr="008401CA">
        <w:t xml:space="preserve">evidence </w:t>
      </w:r>
      <w:r w:rsidR="00BB6396" w:rsidRPr="008401CA">
        <w:t>synthesis to establish the current knowledge on this important topic</w:t>
      </w:r>
      <w:r w:rsidR="00B1363D" w:rsidRPr="008401CA">
        <w:t>.</w:t>
      </w:r>
      <w:r w:rsidR="00BB6396" w:rsidRPr="008401CA">
        <w:t xml:space="preserve"> </w:t>
      </w:r>
      <w:r w:rsidR="00142AB4" w:rsidRPr="008401CA">
        <w:t xml:space="preserve">We aim to describe the existing evidence and compare the environmental impact of commonly used, atmospherically detectable volatile anaesthetic agents </w:t>
      </w:r>
      <w:r w:rsidR="00BB6396" w:rsidRPr="008401CA">
        <w:t xml:space="preserve">with that of </w:t>
      </w:r>
      <w:r w:rsidR="00142AB4" w:rsidRPr="008401CA">
        <w:t xml:space="preserve">intravenous anaesthetic drugs. </w:t>
      </w:r>
    </w:p>
    <w:p w14:paraId="40F51C6F" w14:textId="77777777" w:rsidR="00142AB4" w:rsidRPr="008401CA" w:rsidRDefault="00142AB4" w:rsidP="008401CA">
      <w:pPr>
        <w:pStyle w:val="NoSpacing"/>
        <w:spacing w:line="360" w:lineRule="auto"/>
        <w:jc w:val="both"/>
      </w:pPr>
    </w:p>
    <w:p w14:paraId="5DDD6AD4" w14:textId="77777777" w:rsidR="00BB6396" w:rsidRPr="008401CA" w:rsidRDefault="00BB6396" w:rsidP="008401CA">
      <w:pPr>
        <w:jc w:val="both"/>
        <w:rPr>
          <w:sz w:val="24"/>
          <w:szCs w:val="24"/>
        </w:rPr>
      </w:pPr>
      <w:r w:rsidRPr="008401CA">
        <w:rPr>
          <w:sz w:val="24"/>
          <w:szCs w:val="24"/>
        </w:rPr>
        <w:br w:type="page"/>
      </w:r>
    </w:p>
    <w:p w14:paraId="793BA328" w14:textId="724EBC63" w:rsidR="001D0AF8" w:rsidRPr="008401CA" w:rsidRDefault="00142AB4" w:rsidP="008401CA">
      <w:pPr>
        <w:pStyle w:val="NoSpacing"/>
        <w:spacing w:line="360" w:lineRule="auto"/>
        <w:jc w:val="both"/>
        <w:rPr>
          <w:sz w:val="24"/>
          <w:szCs w:val="24"/>
        </w:rPr>
      </w:pPr>
      <w:bookmarkStart w:id="0" w:name="_GoBack"/>
      <w:r w:rsidRPr="008401CA">
        <w:rPr>
          <w:sz w:val="24"/>
          <w:szCs w:val="24"/>
        </w:rPr>
        <w:lastRenderedPageBreak/>
        <w:t>Review question</w:t>
      </w:r>
      <w:r w:rsidR="001D0AF8" w:rsidRPr="008401CA">
        <w:rPr>
          <w:sz w:val="24"/>
          <w:szCs w:val="24"/>
        </w:rPr>
        <w:t xml:space="preserve"> / </w:t>
      </w:r>
      <w:r w:rsidR="001D0AF8" w:rsidRPr="008401CA">
        <w:rPr>
          <w:sz w:val="24"/>
          <w:szCs w:val="24"/>
        </w:rPr>
        <w:t>Problem/domain to be studied</w:t>
      </w:r>
      <w:bookmarkEnd w:id="0"/>
    </w:p>
    <w:p w14:paraId="5F16EF86" w14:textId="77777777" w:rsidR="001D0AF8" w:rsidRPr="008401CA" w:rsidRDefault="00142AB4" w:rsidP="008401CA">
      <w:pPr>
        <w:pStyle w:val="NoSpacing"/>
        <w:spacing w:line="360" w:lineRule="auto"/>
        <w:jc w:val="both"/>
      </w:pPr>
      <w:r w:rsidRPr="008401CA">
        <w:t>What is the anthropogenic impact of anaesthetic</w:t>
      </w:r>
      <w:r w:rsidR="00BE7E0E" w:rsidRPr="008401CA">
        <w:t xml:space="preserve"> </w:t>
      </w:r>
      <w:r w:rsidR="00523EBB" w:rsidRPr="008401CA">
        <w:t>drugs</w:t>
      </w:r>
      <w:r w:rsidRPr="008401CA">
        <w:t>, as defined by the World Health Organisation essential medicines checklist of anaesthetic drugs</w:t>
      </w:r>
      <w:r w:rsidR="00BE7E0E" w:rsidRPr="008401CA">
        <w:t>? S</w:t>
      </w:r>
      <w:r w:rsidRPr="008401CA">
        <w:t>pecifically</w:t>
      </w:r>
      <w:r w:rsidR="00D64AFA" w:rsidRPr="008401CA">
        <w:t>,</w:t>
      </w:r>
      <w:r w:rsidR="00BE7E0E" w:rsidRPr="008401CA">
        <w:t xml:space="preserve"> we will focus on</w:t>
      </w:r>
      <w:r w:rsidRPr="008401CA">
        <w:t xml:space="preserve"> intravenous anaesthetic drugs, muscle relaxants, local anaesthetic agents and volatile anaesthetic agents. </w:t>
      </w:r>
    </w:p>
    <w:p w14:paraId="799F1162" w14:textId="77777777" w:rsidR="001D0AF8" w:rsidRPr="008401CA" w:rsidRDefault="001D0AF8" w:rsidP="008401CA">
      <w:pPr>
        <w:pStyle w:val="NoSpacing"/>
        <w:spacing w:line="360" w:lineRule="auto"/>
        <w:jc w:val="both"/>
      </w:pPr>
    </w:p>
    <w:p w14:paraId="290A733A" w14:textId="63FD57C6" w:rsidR="00142AB4" w:rsidRPr="008401CA" w:rsidRDefault="00523EBB" w:rsidP="008401CA">
      <w:pPr>
        <w:pStyle w:val="NoSpacing"/>
        <w:spacing w:line="360" w:lineRule="auto"/>
        <w:jc w:val="both"/>
      </w:pPr>
      <w:r w:rsidRPr="008401CA">
        <w:t xml:space="preserve">We have </w:t>
      </w:r>
      <w:r w:rsidR="00ED489B" w:rsidRPr="008401CA">
        <w:t xml:space="preserve">used the </w:t>
      </w:r>
      <w:r w:rsidRPr="008401CA">
        <w:t>list of a</w:t>
      </w:r>
      <w:r w:rsidR="00142AB4" w:rsidRPr="008401CA">
        <w:t xml:space="preserve">naesthetic agents as </w:t>
      </w:r>
      <w:r w:rsidR="00ED489B" w:rsidRPr="008401CA">
        <w:t xml:space="preserve">defined in </w:t>
      </w:r>
      <w:r w:rsidR="00142AB4" w:rsidRPr="008401CA">
        <w:t xml:space="preserve">the </w:t>
      </w:r>
      <w:hyperlink r:id="rId9" w:history="1">
        <w:r w:rsidR="00142AB4" w:rsidRPr="008401CA">
          <w:rPr>
            <w:rStyle w:val="Hyperlink"/>
          </w:rPr>
          <w:t>World Health Organisation essential drugs list</w:t>
        </w:r>
      </w:hyperlink>
      <w:r w:rsidR="00142AB4" w:rsidRPr="008401CA">
        <w:t xml:space="preserve"> in sections</w:t>
      </w:r>
      <w:r w:rsidR="001D0AF8" w:rsidRPr="008401CA">
        <w:t xml:space="preserve"> to define those to be included in this review</w:t>
      </w:r>
      <w:r w:rsidR="00142AB4" w:rsidRPr="008401CA">
        <w:t>:</w:t>
      </w:r>
    </w:p>
    <w:p w14:paraId="10F33A29" w14:textId="77777777" w:rsidR="00142AB4" w:rsidRPr="008401CA" w:rsidRDefault="00142AB4" w:rsidP="008401CA">
      <w:pPr>
        <w:pStyle w:val="NoSpacing"/>
        <w:spacing w:line="360" w:lineRule="auto"/>
        <w:jc w:val="both"/>
      </w:pPr>
      <w:r w:rsidRPr="008401CA">
        <w:t>1.1.1 (volatile anaesthetic agents): Halothane, Isoflurane, Nitrous Oxide</w:t>
      </w:r>
    </w:p>
    <w:p w14:paraId="5E0AF250" w14:textId="77777777" w:rsidR="00142AB4" w:rsidRPr="008401CA" w:rsidRDefault="00142AB4" w:rsidP="008401CA">
      <w:pPr>
        <w:pStyle w:val="NoSpacing"/>
        <w:spacing w:line="360" w:lineRule="auto"/>
        <w:jc w:val="both"/>
      </w:pPr>
      <w:r w:rsidRPr="008401CA">
        <w:t>1.1.2 (IV anaesthetic agents): Propofol, Ketamine, Thiopentone</w:t>
      </w:r>
    </w:p>
    <w:p w14:paraId="64FEC279" w14:textId="77777777" w:rsidR="00142AB4" w:rsidRPr="008401CA" w:rsidRDefault="00142AB4" w:rsidP="008401CA">
      <w:pPr>
        <w:pStyle w:val="NoSpacing"/>
        <w:spacing w:line="360" w:lineRule="auto"/>
        <w:jc w:val="both"/>
      </w:pPr>
      <w:r w:rsidRPr="008401CA">
        <w:t>1.2 (Local anaesthetic agents): Bupivicaine, Lidocaine</w:t>
      </w:r>
    </w:p>
    <w:p w14:paraId="1C778CE0" w14:textId="77777777" w:rsidR="00142AB4" w:rsidRPr="008401CA" w:rsidRDefault="00142AB4" w:rsidP="008401CA">
      <w:pPr>
        <w:pStyle w:val="NoSpacing"/>
        <w:spacing w:line="360" w:lineRule="auto"/>
        <w:jc w:val="both"/>
      </w:pPr>
      <w:r w:rsidRPr="008401CA">
        <w:t>20 (Muscle relaxants): Atracurium, Suxamethonium, Vecuronium, Neostigmine</w:t>
      </w:r>
    </w:p>
    <w:p w14:paraId="31643CF3" w14:textId="7B49D5EB" w:rsidR="00142AB4" w:rsidRPr="008401CA" w:rsidRDefault="00BE7E0E" w:rsidP="008401CA">
      <w:pPr>
        <w:pStyle w:val="NoSpacing"/>
        <w:spacing w:line="360" w:lineRule="auto"/>
        <w:jc w:val="both"/>
      </w:pPr>
      <w:r w:rsidRPr="008401CA">
        <w:t xml:space="preserve">We will also include </w:t>
      </w:r>
      <w:r w:rsidR="00ED489B" w:rsidRPr="008401CA">
        <w:t xml:space="preserve">the </w:t>
      </w:r>
      <w:r w:rsidRPr="008401CA">
        <w:t>c</w:t>
      </w:r>
      <w:r w:rsidR="00142AB4" w:rsidRPr="008401CA">
        <w:t>ommonly used inhalational agents of interest: Sevoflurane, Desflurane</w:t>
      </w:r>
    </w:p>
    <w:p w14:paraId="6D830C5E" w14:textId="77777777" w:rsidR="00142AB4" w:rsidRPr="008401CA" w:rsidRDefault="00142AB4" w:rsidP="008401CA">
      <w:pPr>
        <w:pStyle w:val="NoSpacing"/>
        <w:spacing w:line="360" w:lineRule="auto"/>
        <w:jc w:val="both"/>
      </w:pPr>
    </w:p>
    <w:p w14:paraId="1D16B745" w14:textId="605747DA" w:rsidR="00142AB4" w:rsidRPr="008401CA" w:rsidRDefault="00142AB4" w:rsidP="008401CA">
      <w:pPr>
        <w:pStyle w:val="NoSpacing"/>
        <w:spacing w:line="360" w:lineRule="auto"/>
        <w:jc w:val="both"/>
      </w:pPr>
      <w:r w:rsidRPr="008401CA">
        <w:t>Oxygen will be excluded from 1.1.1 as we anticipate a vast number of records that are not specific to anaesthesia.</w:t>
      </w:r>
      <w:r w:rsidR="001D0AF8" w:rsidRPr="008401CA">
        <w:fldChar w:fldCharType="begin" w:fldLock="1"/>
      </w:r>
      <w:r w:rsidR="001D0AF8" w:rsidRPr="008401CA">
        <w:instrText>ADDIN CSL_CITATION {"citationItems":[{"id":"ITEM-1","itemData":{"id":"ITEM-1","issued":{"date-parts":[["0"]]},"page":"1-2","publisher":"World Health Organisation","publisher-place":"Geneva","title":"WHO Model list of essential medicines, 21st List","type":"article"},"uris":["http://www.mendeley.com/documents/?uuid=dffd7d71-0759-49e4-a880-eb516abfcbc4"]}],"mendeley":{"formattedCitation":"[10]","plainTextFormattedCitation":"[10]","previouslyFormattedCitation":"[10]"},"properties":{"noteIndex":0},"schema":"https://github.com/citation-style-language/schema/raw/master/csl-citation.json"}</w:instrText>
      </w:r>
      <w:r w:rsidR="001D0AF8" w:rsidRPr="008401CA">
        <w:fldChar w:fldCharType="separate"/>
      </w:r>
      <w:r w:rsidR="001D0AF8" w:rsidRPr="008401CA">
        <w:rPr>
          <w:noProof/>
        </w:rPr>
        <w:t>[10]</w:t>
      </w:r>
      <w:r w:rsidR="001D0AF8" w:rsidRPr="008401CA">
        <w:fldChar w:fldCharType="end"/>
      </w:r>
    </w:p>
    <w:p w14:paraId="6D38C831" w14:textId="44FCA11E" w:rsidR="008401CA" w:rsidRPr="008401CA" w:rsidRDefault="008401CA" w:rsidP="008401CA">
      <w:pPr>
        <w:pStyle w:val="NoSpacing"/>
        <w:spacing w:line="360" w:lineRule="auto"/>
        <w:jc w:val="both"/>
      </w:pPr>
      <w:r w:rsidRPr="008401CA">
        <w:t>We aim to describe the existing evidence regarding the environmental impact of anaesthetic drugs listed on the WHO essential medicines list.</w:t>
      </w:r>
      <w:r w:rsidRPr="008401CA">
        <w:fldChar w:fldCharType="begin" w:fldLock="1"/>
      </w:r>
      <w:r w:rsidRPr="008401CA">
        <w:instrText>ADDIN CSL_CITATION {"citationItems":[{"id":"ITEM-1","itemData":{"id":"ITEM-1","issued":{"date-parts":[["0"]]},"page":"1-2","publisher":"World Health Organisation","publisher-place":"Geneva","title":"WHO Model list of essential medicines, 21st List","type":"article"},"uris":["http://www.mendeley.com/documents/?uuid=dffd7d71-0759-49e4-a880-eb516abfcbc4"]}],"mendeley":{"formattedCitation":"[10]","plainTextFormattedCitation":"[10]","previouslyFormattedCitation":"[10]"},"properties":{"noteIndex":0},"schema":"https://github.com/citation-style-language/schema/raw/master/csl-citation.json"}</w:instrText>
      </w:r>
      <w:r w:rsidRPr="008401CA">
        <w:fldChar w:fldCharType="separate"/>
      </w:r>
      <w:r w:rsidRPr="008401CA">
        <w:rPr>
          <w:noProof/>
        </w:rPr>
        <w:t>[10]</w:t>
      </w:r>
      <w:r w:rsidRPr="008401CA">
        <w:fldChar w:fldCharType="end"/>
      </w:r>
      <w:r w:rsidRPr="008401CA">
        <w:t xml:space="preserve"> This review will include the following anaesthetic drugs: volatile anaesthetic agents; Halothane, Isoflurane, Nitrous Oxide and the intravenous anaesthetic agents Propofol, Thiopentone and Ketamine. It will also include the muscle relaxants, atracurium, suxamethonium and vecuronium and the local anaesthetic drugs lidocaine and bupivacaine. Additionally, we will include the volatile agents sevoflurane and desflurane with the rationale that they are detectable in the atmosphere (as defined by the SOGE programme) and ecosystem.</w:t>
      </w:r>
      <w:r w:rsidRPr="008401CA" w:rsidDel="001D0AF8">
        <w:rPr>
          <w:rStyle w:val="FootnoteReference"/>
        </w:rPr>
        <w:t xml:space="preserve"> </w:t>
      </w:r>
      <w:r w:rsidRPr="008401CA">
        <w:fldChar w:fldCharType="begin" w:fldLock="1"/>
      </w:r>
      <w:r w:rsidRPr="008401CA">
        <w:instrText>ADDIN CSL_CITATION {"citationItems":[{"id":"ITEM-1","itemData":{"author":[{"dropping-particle":"","family":"Greally, BR., Simmonds, PG., O'Doherty, SJ., Nickless, G., McCulloch, A., Reimann, S., Schmidbauer, N., Maione, M., Ryall, DB., Derwent, RG., &amp; Manning","given":"AJ","non-dropping-particle":"","parse-names":false,"suffix":""}],"container-title":"NON-C02 GREENHOUSE GASES: SCIENTIFIC UNDERSTANDING, CONTROL OPTIONS AND POLICY ASPECTS","editor":[{"dropping-particle":"","family":"VanHam, APM. Baede, R. Guicherit","given":"&amp; JGF. WilliamsJacobse","non-dropping-particle":"","parse-names":false,"suffix":""}],"id":"ITEM-1","issued":{"date-parts":[["2002"]]},"page":"553 - 557","publisher":"Millpress Science Publishers","title":"Observations of halogenated greenhouse gases and estimation of European source strengths","type":"chapter"},"uris":["http://www.mendeley.com/documents/?uuid=aee99669-2fe5-4226-9c8f-9290237b51b5"]}],"mendeley":{"formattedCitation":"[11]","plainTextFormattedCitation":"[11]"},"properties":{"noteIndex":0},"schema":"https://github.com/citation-style-language/schema/raw/master/csl-citation.json"}</w:instrText>
      </w:r>
      <w:r w:rsidRPr="008401CA">
        <w:fldChar w:fldCharType="separate"/>
      </w:r>
      <w:r w:rsidRPr="008401CA">
        <w:rPr>
          <w:noProof/>
        </w:rPr>
        <w:t>[11]</w:t>
      </w:r>
      <w:r w:rsidRPr="008401CA">
        <w:fldChar w:fldCharType="end"/>
      </w:r>
    </w:p>
    <w:p w14:paraId="3664F07E" w14:textId="77777777" w:rsidR="008401CA" w:rsidRPr="008401CA" w:rsidRDefault="008401CA" w:rsidP="008401CA">
      <w:pPr>
        <w:pStyle w:val="NoSpacing"/>
        <w:spacing w:line="360" w:lineRule="auto"/>
        <w:jc w:val="both"/>
      </w:pPr>
      <w:commentRangeStart w:id="1"/>
      <w:commentRangeEnd w:id="1"/>
    </w:p>
    <w:p w14:paraId="51267FD1" w14:textId="77777777" w:rsidR="003B1261" w:rsidRPr="008401CA" w:rsidRDefault="003B1261" w:rsidP="008401CA">
      <w:pPr>
        <w:pStyle w:val="NoSpacing"/>
        <w:spacing w:line="360" w:lineRule="auto"/>
        <w:jc w:val="both"/>
        <w:rPr>
          <w:sz w:val="24"/>
          <w:szCs w:val="24"/>
        </w:rPr>
      </w:pPr>
    </w:p>
    <w:p w14:paraId="561CA3CD" w14:textId="23C4D4DA" w:rsidR="003B1261" w:rsidRPr="008401CA" w:rsidRDefault="00142AB4" w:rsidP="008401CA">
      <w:pPr>
        <w:pStyle w:val="NoSpacing"/>
        <w:spacing w:line="360" w:lineRule="auto"/>
        <w:jc w:val="both"/>
        <w:rPr>
          <w:sz w:val="24"/>
          <w:szCs w:val="24"/>
        </w:rPr>
      </w:pPr>
      <w:r w:rsidRPr="008401CA">
        <w:rPr>
          <w:sz w:val="24"/>
          <w:szCs w:val="24"/>
        </w:rPr>
        <w:t>Intervention/exposure</w:t>
      </w:r>
    </w:p>
    <w:p w14:paraId="78396D16" w14:textId="0AC22BF2" w:rsidR="00142AB4" w:rsidRPr="008401CA" w:rsidRDefault="00142AB4" w:rsidP="008401CA">
      <w:pPr>
        <w:pStyle w:val="NoSpacing"/>
        <w:spacing w:line="360" w:lineRule="auto"/>
        <w:jc w:val="both"/>
        <w:rPr>
          <w:sz w:val="24"/>
          <w:szCs w:val="24"/>
        </w:rPr>
      </w:pPr>
      <w:r w:rsidRPr="008401CA">
        <w:t xml:space="preserve">The review will </w:t>
      </w:r>
      <w:r w:rsidR="00523EBB" w:rsidRPr="008401CA">
        <w:t xml:space="preserve">include an </w:t>
      </w:r>
      <w:r w:rsidRPr="008401CA">
        <w:t>assess</w:t>
      </w:r>
      <w:r w:rsidR="00523EBB" w:rsidRPr="008401CA">
        <w:t xml:space="preserve">ment of </w:t>
      </w:r>
      <w:r w:rsidRPr="008401CA">
        <w:t xml:space="preserve">the </w:t>
      </w:r>
      <w:r w:rsidR="00BE7E0E" w:rsidRPr="008401CA">
        <w:t xml:space="preserve">global </w:t>
      </w:r>
      <w:r w:rsidRPr="008401CA">
        <w:t>environmental impact</w:t>
      </w:r>
      <w:r w:rsidR="00523EBB" w:rsidRPr="008401CA">
        <w:t>,</w:t>
      </w:r>
      <w:r w:rsidRPr="008401CA">
        <w:t xml:space="preserve"> and potential for environmental harm</w:t>
      </w:r>
      <w:r w:rsidR="00523EBB" w:rsidRPr="008401CA">
        <w:t>,</w:t>
      </w:r>
      <w:r w:rsidR="00BE7E0E" w:rsidRPr="008401CA">
        <w:t xml:space="preserve"> of the anaesthetic drugs listed above. We will</w:t>
      </w:r>
      <w:r w:rsidRPr="008401CA">
        <w:t xml:space="preserve"> includ</w:t>
      </w:r>
      <w:r w:rsidR="00BE7E0E" w:rsidRPr="008401CA">
        <w:t>e</w:t>
      </w:r>
      <w:r w:rsidRPr="008401CA">
        <w:t xml:space="preserve"> the contribution to </w:t>
      </w:r>
      <w:r w:rsidR="00523EBB" w:rsidRPr="008401CA">
        <w:t xml:space="preserve">the </w:t>
      </w:r>
      <w:r w:rsidRPr="008401CA">
        <w:t>greenhouse warming effect</w:t>
      </w:r>
      <w:r w:rsidR="00523EBB" w:rsidRPr="008401CA">
        <w:t xml:space="preserve"> of each drug</w:t>
      </w:r>
      <w:r w:rsidRPr="008401CA">
        <w:t xml:space="preserve"> (</w:t>
      </w:r>
      <w:r w:rsidR="00523EBB" w:rsidRPr="008401CA">
        <w:t xml:space="preserve">that is </w:t>
      </w:r>
      <w:r w:rsidRPr="008401CA">
        <w:t>their greenhouse warming potential</w:t>
      </w:r>
      <w:r w:rsidR="00523EBB" w:rsidRPr="008401CA">
        <w:t>, GWP</w:t>
      </w:r>
      <w:r w:rsidRPr="008401CA">
        <w:t>), indirect emissions effect, and lifecycle analysis (impact of their manufacture, transport, disposal)</w:t>
      </w:r>
      <w:r w:rsidR="00BE7E0E" w:rsidRPr="008401CA">
        <w:t xml:space="preserve"> data</w:t>
      </w:r>
      <w:r w:rsidR="00523EBB" w:rsidRPr="008401CA">
        <w:t xml:space="preserve"> where available for each drug.</w:t>
      </w:r>
      <w:r w:rsidR="00BE7E0E" w:rsidRPr="008401CA">
        <w:t xml:space="preserve"> </w:t>
      </w:r>
    </w:p>
    <w:p w14:paraId="4E1AE6FE" w14:textId="77777777" w:rsidR="00142AB4" w:rsidRPr="008401CA" w:rsidRDefault="00142AB4" w:rsidP="008401CA">
      <w:pPr>
        <w:pStyle w:val="NoSpacing"/>
        <w:spacing w:line="360" w:lineRule="auto"/>
        <w:jc w:val="both"/>
      </w:pPr>
    </w:p>
    <w:p w14:paraId="791C7DCE" w14:textId="77777777" w:rsidR="00142AB4" w:rsidRPr="008401CA" w:rsidRDefault="00142AB4" w:rsidP="008401CA">
      <w:pPr>
        <w:pStyle w:val="NoSpacing"/>
        <w:spacing w:line="360" w:lineRule="auto"/>
        <w:jc w:val="both"/>
        <w:rPr>
          <w:sz w:val="24"/>
          <w:szCs w:val="24"/>
        </w:rPr>
      </w:pPr>
      <w:r w:rsidRPr="008401CA">
        <w:rPr>
          <w:sz w:val="24"/>
          <w:szCs w:val="24"/>
        </w:rPr>
        <w:t>Comparator/control</w:t>
      </w:r>
    </w:p>
    <w:p w14:paraId="55133861" w14:textId="0734B70C" w:rsidR="00142AB4" w:rsidRPr="008401CA" w:rsidRDefault="00142AB4" w:rsidP="008401CA">
      <w:pPr>
        <w:pStyle w:val="NoSpacing"/>
        <w:spacing w:line="360" w:lineRule="auto"/>
        <w:jc w:val="both"/>
      </w:pPr>
      <w:r w:rsidRPr="008401CA">
        <w:t xml:space="preserve">We will compare the differential impacts of </w:t>
      </w:r>
      <w:r w:rsidR="00D64AFA" w:rsidRPr="008401CA">
        <w:t xml:space="preserve">the </w:t>
      </w:r>
      <w:r w:rsidRPr="008401CA">
        <w:t xml:space="preserve">anaesthetic </w:t>
      </w:r>
      <w:r w:rsidR="00785050" w:rsidRPr="008401CA">
        <w:t>agents where possible.</w:t>
      </w:r>
    </w:p>
    <w:p w14:paraId="5D66B47B" w14:textId="77777777" w:rsidR="00142AB4" w:rsidRPr="008401CA" w:rsidRDefault="00142AB4" w:rsidP="008401CA">
      <w:pPr>
        <w:pStyle w:val="NoSpacing"/>
        <w:spacing w:line="360" w:lineRule="auto"/>
        <w:jc w:val="both"/>
      </w:pPr>
    </w:p>
    <w:p w14:paraId="597E7EA3" w14:textId="64CD16CB" w:rsidR="00523EBB" w:rsidRPr="008401CA" w:rsidRDefault="00142AB4" w:rsidP="008401CA">
      <w:pPr>
        <w:pStyle w:val="NoSpacing"/>
        <w:spacing w:line="360" w:lineRule="auto"/>
        <w:jc w:val="both"/>
        <w:rPr>
          <w:sz w:val="24"/>
          <w:szCs w:val="24"/>
        </w:rPr>
      </w:pPr>
      <w:r w:rsidRPr="008401CA">
        <w:rPr>
          <w:sz w:val="24"/>
          <w:szCs w:val="24"/>
        </w:rPr>
        <w:t>Main outcome</w:t>
      </w:r>
    </w:p>
    <w:p w14:paraId="1064E5EA" w14:textId="602468DE" w:rsidR="00BF2F0B" w:rsidRPr="008401CA" w:rsidRDefault="00523EBB" w:rsidP="008401CA">
      <w:pPr>
        <w:pStyle w:val="NoSpacing"/>
        <w:spacing w:line="360" w:lineRule="auto"/>
        <w:jc w:val="both"/>
      </w:pPr>
      <w:r w:rsidRPr="008401CA">
        <w:t>We will d</w:t>
      </w:r>
      <w:r w:rsidR="00BE7E0E" w:rsidRPr="008401CA">
        <w:t>efine w</w:t>
      </w:r>
      <w:r w:rsidR="00544686" w:rsidRPr="008401CA">
        <w:t xml:space="preserve">hat literature is available </w:t>
      </w:r>
      <w:r w:rsidR="00ED489B" w:rsidRPr="008401CA">
        <w:t>about</w:t>
      </w:r>
      <w:r w:rsidR="00544686" w:rsidRPr="008401CA">
        <w:t xml:space="preserve"> the environmental impact of the whole life cycle of </w:t>
      </w:r>
      <w:r w:rsidR="00ED489B" w:rsidRPr="008401CA">
        <w:t xml:space="preserve">the </w:t>
      </w:r>
      <w:r w:rsidR="00544686" w:rsidRPr="008401CA">
        <w:t xml:space="preserve">anaesthetic drugs as defined by the world health organisation essential medicine list (sections: 1.1.1, 1.1.2, 1.2, </w:t>
      </w:r>
      <w:r w:rsidR="00544686" w:rsidRPr="008401CA">
        <w:lastRenderedPageBreak/>
        <w:t>20) and two inhalational agents central to the environmental impact debate in anaesthesia (sevoflurane and desflurane). </w:t>
      </w:r>
    </w:p>
    <w:p w14:paraId="17EBCAB2" w14:textId="77777777" w:rsidR="00BF19F9" w:rsidRPr="008401CA" w:rsidRDefault="00BF19F9" w:rsidP="008401CA">
      <w:pPr>
        <w:pStyle w:val="NoSpacing"/>
        <w:spacing w:line="360" w:lineRule="auto"/>
        <w:jc w:val="both"/>
      </w:pPr>
    </w:p>
    <w:p w14:paraId="151D7F9C" w14:textId="1851DF2F" w:rsidR="00142AB4" w:rsidRPr="008401CA" w:rsidRDefault="00ED489B" w:rsidP="008401CA">
      <w:pPr>
        <w:pStyle w:val="NoSpacing"/>
        <w:spacing w:line="360" w:lineRule="auto"/>
        <w:jc w:val="both"/>
      </w:pPr>
      <w:r w:rsidRPr="008401CA">
        <w:t>We will d</w:t>
      </w:r>
      <w:r w:rsidR="00BF2F0B" w:rsidRPr="008401CA">
        <w:t>escribe the o</w:t>
      </w:r>
      <w:r w:rsidR="00142AB4" w:rsidRPr="008401CA">
        <w:t>verall climate fingerprint</w:t>
      </w:r>
      <w:r w:rsidRPr="008401CA">
        <w:t>,</w:t>
      </w:r>
      <w:r w:rsidR="00142AB4" w:rsidRPr="008401CA">
        <w:t xml:space="preserve"> including the </w:t>
      </w:r>
      <w:r w:rsidR="00785050" w:rsidRPr="008401CA">
        <w:t>g</w:t>
      </w:r>
      <w:r w:rsidR="00142AB4" w:rsidRPr="008401CA">
        <w:t>reenhouse gas effect, ozone depletion potentials, manufacture/production/disposal and carbon footprint of each drug.</w:t>
      </w:r>
      <w:r w:rsidR="00BF2F0B" w:rsidRPr="008401CA">
        <w:t xml:space="preserve"> Where information on the full life cycle of an agent is available, this will be presented.</w:t>
      </w:r>
    </w:p>
    <w:p w14:paraId="4131D65B" w14:textId="77777777" w:rsidR="00ED489B" w:rsidRPr="008401CA" w:rsidRDefault="00ED489B" w:rsidP="008401CA">
      <w:pPr>
        <w:pStyle w:val="NoSpacing"/>
        <w:spacing w:line="360" w:lineRule="auto"/>
        <w:jc w:val="both"/>
      </w:pPr>
    </w:p>
    <w:p w14:paraId="27B540D1" w14:textId="4E918F43" w:rsidR="00142AB4" w:rsidRPr="008401CA" w:rsidRDefault="00142AB4" w:rsidP="008401CA">
      <w:pPr>
        <w:pStyle w:val="NoSpacing"/>
        <w:spacing w:line="360" w:lineRule="auto"/>
        <w:jc w:val="both"/>
      </w:pPr>
      <w:r w:rsidRPr="008401CA">
        <w:t xml:space="preserve">We will use the following methodology in our review but anticipate this will be an iterative process. </w:t>
      </w:r>
    </w:p>
    <w:p w14:paraId="061EE933" w14:textId="77777777" w:rsidR="00ED489B" w:rsidRPr="008401CA" w:rsidRDefault="00ED489B" w:rsidP="008401CA">
      <w:pPr>
        <w:pStyle w:val="NoSpacing"/>
        <w:spacing w:line="360" w:lineRule="auto"/>
        <w:jc w:val="both"/>
        <w:rPr>
          <w:sz w:val="24"/>
          <w:szCs w:val="24"/>
        </w:rPr>
      </w:pPr>
    </w:p>
    <w:p w14:paraId="41A9439B" w14:textId="2FF932CF" w:rsidR="00142AB4" w:rsidRPr="008401CA" w:rsidRDefault="00142AB4" w:rsidP="008401CA">
      <w:pPr>
        <w:pStyle w:val="NoSpacing"/>
        <w:spacing w:line="360" w:lineRule="auto"/>
        <w:jc w:val="both"/>
        <w:rPr>
          <w:sz w:val="24"/>
          <w:szCs w:val="24"/>
        </w:rPr>
      </w:pPr>
      <w:r w:rsidRPr="008401CA">
        <w:rPr>
          <w:sz w:val="24"/>
          <w:szCs w:val="24"/>
        </w:rPr>
        <w:t>Searches</w:t>
      </w:r>
    </w:p>
    <w:p w14:paraId="159369A7" w14:textId="174D83CE" w:rsidR="00142AB4" w:rsidRPr="008401CA" w:rsidRDefault="00142AB4" w:rsidP="008401CA">
      <w:pPr>
        <w:pStyle w:val="NoSpacing"/>
        <w:spacing w:line="360" w:lineRule="auto"/>
        <w:jc w:val="both"/>
      </w:pPr>
      <w:r w:rsidRPr="008401CA">
        <w:t>We developed our search strategy based on an adapted PICO format and upon a combination of terms referring to anaesthetic agents listed above and terms associated with environmental impact.</w:t>
      </w:r>
    </w:p>
    <w:p w14:paraId="441FBF49" w14:textId="72E42414" w:rsidR="00142AB4" w:rsidRPr="008401CA" w:rsidRDefault="00142AB4" w:rsidP="008401CA">
      <w:pPr>
        <w:pStyle w:val="NoSpacing"/>
        <w:spacing w:line="360" w:lineRule="auto"/>
        <w:jc w:val="both"/>
      </w:pPr>
      <w:r w:rsidRPr="008401CA">
        <w:t>We will search MEDLINE (PudMed), Excerpta Medica dataBASE (EMBASE), Cumulative index to nursing and allied health literature (CINAHL) using the Health Database Advanced Search platform</w:t>
      </w:r>
      <w:r w:rsidR="00785050" w:rsidRPr="008401CA">
        <w:t xml:space="preserve"> from inception </w:t>
      </w:r>
      <w:r w:rsidRPr="008401CA">
        <w:t xml:space="preserve">until 09/10/2019. </w:t>
      </w:r>
    </w:p>
    <w:p w14:paraId="141D8AD7" w14:textId="4C640EDB" w:rsidR="00A27F52" w:rsidRPr="008401CA" w:rsidRDefault="00A27F52" w:rsidP="008401CA">
      <w:pPr>
        <w:pStyle w:val="NoSpacing"/>
        <w:spacing w:line="360" w:lineRule="auto"/>
        <w:jc w:val="both"/>
      </w:pPr>
    </w:p>
    <w:p w14:paraId="359ABC9A" w14:textId="19349F38" w:rsidR="00A27F52" w:rsidRPr="008401CA" w:rsidRDefault="00A27F52" w:rsidP="008401CA">
      <w:pPr>
        <w:pStyle w:val="NoSpacing"/>
        <w:spacing w:line="360" w:lineRule="auto"/>
        <w:jc w:val="both"/>
      </w:pPr>
      <w:r w:rsidRPr="008401CA">
        <w:t>Additional searches for these specific agents will be performed on DrugBank (</w:t>
      </w:r>
      <w:hyperlink r:id="rId10" w:history="1">
        <w:r w:rsidRPr="008401CA">
          <w:rPr>
            <w:rStyle w:val="Hyperlink"/>
          </w:rPr>
          <w:t>https://www.drubank.ca/</w:t>
        </w:r>
      </w:hyperlink>
      <w:r w:rsidRPr="008401CA">
        <w:t>) to obtain any relevant information regarding their environmental impact.</w:t>
      </w:r>
    </w:p>
    <w:p w14:paraId="10FA3F58" w14:textId="77777777" w:rsidR="00142AB4" w:rsidRPr="008401CA" w:rsidRDefault="00142AB4" w:rsidP="008401CA">
      <w:pPr>
        <w:pStyle w:val="NoSpacing"/>
        <w:spacing w:line="360" w:lineRule="auto"/>
        <w:jc w:val="both"/>
      </w:pPr>
    </w:p>
    <w:p w14:paraId="6B5CD50E" w14:textId="5F31ECF9" w:rsidR="00142AB4" w:rsidRPr="008401CA" w:rsidRDefault="00142AB4" w:rsidP="008401CA">
      <w:pPr>
        <w:pStyle w:val="NoSpacing"/>
        <w:spacing w:line="360" w:lineRule="auto"/>
        <w:jc w:val="both"/>
      </w:pPr>
      <w:r w:rsidRPr="008401CA">
        <w:t>We will include any scientific study that sheds light on the anthropogenic effect of the aforementioned drugs</w:t>
      </w:r>
      <w:r w:rsidR="00544686" w:rsidRPr="008401CA">
        <w:t xml:space="preserve"> and any studies in any population (including animal or human) where the study reports the environmental impact of aforementioned anaesthetic agents</w:t>
      </w:r>
      <w:r w:rsidRPr="008401CA">
        <w:t>.</w:t>
      </w:r>
    </w:p>
    <w:p w14:paraId="2397CEF7" w14:textId="77777777" w:rsidR="00380788" w:rsidRPr="008401CA" w:rsidRDefault="00380788" w:rsidP="008401CA">
      <w:pPr>
        <w:pStyle w:val="NoSpacing"/>
        <w:spacing w:line="360" w:lineRule="auto"/>
        <w:jc w:val="both"/>
      </w:pPr>
    </w:p>
    <w:p w14:paraId="752D7093" w14:textId="4F2DCBCC" w:rsidR="00A27F52" w:rsidRPr="008401CA" w:rsidRDefault="00A27F52" w:rsidP="008401CA">
      <w:pPr>
        <w:pStyle w:val="NoSpacing"/>
        <w:spacing w:line="360" w:lineRule="auto"/>
        <w:jc w:val="both"/>
      </w:pPr>
      <w:r w:rsidRPr="008401CA">
        <w:t>Data extraction will include any domain specific terms relevant for an environmental impact (for example specialist terms relating to climate change) and searches will be re-run for these terms and listed anaesthetic agents to ensure comprehensive capture of environmental impacts.</w:t>
      </w:r>
    </w:p>
    <w:p w14:paraId="5FFAE274" w14:textId="36CE65B7" w:rsidR="00544686" w:rsidRPr="008401CA" w:rsidRDefault="00544686" w:rsidP="008401CA">
      <w:pPr>
        <w:pStyle w:val="NoSpacing"/>
        <w:spacing w:line="360" w:lineRule="auto"/>
        <w:jc w:val="both"/>
      </w:pPr>
    </w:p>
    <w:p w14:paraId="5D2BC8AB" w14:textId="2AF038BD" w:rsidR="00544686" w:rsidRPr="008401CA" w:rsidRDefault="00544686" w:rsidP="008401CA">
      <w:pPr>
        <w:pStyle w:val="NoSpacing"/>
        <w:spacing w:line="360" w:lineRule="auto"/>
        <w:jc w:val="both"/>
      </w:pPr>
      <w:r w:rsidRPr="008401CA">
        <w:rPr>
          <w:sz w:val="24"/>
          <w:szCs w:val="24"/>
        </w:rPr>
        <w:t>Search terms</w:t>
      </w:r>
    </w:p>
    <w:p w14:paraId="47131707" w14:textId="77777777" w:rsidR="00544686" w:rsidRPr="008401CA" w:rsidRDefault="00544686" w:rsidP="008401CA">
      <w:pPr>
        <w:pStyle w:val="NoSpacing"/>
        <w:spacing w:line="360" w:lineRule="auto"/>
        <w:jc w:val="both"/>
      </w:pPr>
      <w:r w:rsidRPr="008401CA">
        <w:t>#inhalationals</w:t>
      </w:r>
    </w:p>
    <w:p w14:paraId="42674714" w14:textId="77777777" w:rsidR="00544686" w:rsidRPr="008401CA" w:rsidRDefault="00544686" w:rsidP="008401CA">
      <w:pPr>
        <w:pStyle w:val="NoSpacing"/>
        <w:spacing w:line="360" w:lineRule="auto"/>
        <w:jc w:val="both"/>
      </w:pPr>
      <w:r w:rsidRPr="008401CA">
        <w:t>(sevoflurane).ti, ab OR (desflurane).ti, ab OR (isoflurane).ti, ab OR (halothane).ti, ab OR (nitrous).ti, ab OR (nitrous oxide).ti, ab</w:t>
      </w:r>
    </w:p>
    <w:p w14:paraId="0F1E9473" w14:textId="77777777" w:rsidR="00544686" w:rsidRPr="008401CA" w:rsidRDefault="00544686" w:rsidP="008401CA">
      <w:pPr>
        <w:pStyle w:val="NoSpacing"/>
        <w:spacing w:line="360" w:lineRule="auto"/>
        <w:jc w:val="both"/>
      </w:pPr>
    </w:p>
    <w:p w14:paraId="2331AC83" w14:textId="77777777" w:rsidR="00544686" w:rsidRPr="008401CA" w:rsidRDefault="00544686" w:rsidP="008401CA">
      <w:pPr>
        <w:pStyle w:val="NoSpacing"/>
        <w:spacing w:line="360" w:lineRule="auto"/>
        <w:jc w:val="both"/>
      </w:pPr>
      <w:r w:rsidRPr="008401CA">
        <w:t>#IV</w:t>
      </w:r>
    </w:p>
    <w:p w14:paraId="43B3E1ED" w14:textId="77777777" w:rsidR="00544686" w:rsidRPr="008401CA" w:rsidRDefault="00544686" w:rsidP="008401CA">
      <w:pPr>
        <w:pStyle w:val="NoSpacing"/>
        <w:spacing w:line="360" w:lineRule="auto"/>
        <w:jc w:val="both"/>
      </w:pPr>
      <w:r w:rsidRPr="008401CA">
        <w:t>(ketamine).ti, ab OR (propofol).ti, ab OR (thiopentone).ti, ab OR (thiopental).ti, ab</w:t>
      </w:r>
    </w:p>
    <w:p w14:paraId="66EF0DBF" w14:textId="77777777" w:rsidR="00544686" w:rsidRPr="008401CA" w:rsidRDefault="00544686" w:rsidP="008401CA">
      <w:pPr>
        <w:pStyle w:val="NoSpacing"/>
        <w:spacing w:line="360" w:lineRule="auto"/>
        <w:jc w:val="both"/>
      </w:pPr>
    </w:p>
    <w:p w14:paraId="7BEF519E" w14:textId="77777777" w:rsidR="00544686" w:rsidRPr="008401CA" w:rsidRDefault="00544686" w:rsidP="008401CA">
      <w:pPr>
        <w:pStyle w:val="NoSpacing"/>
        <w:spacing w:line="360" w:lineRule="auto"/>
        <w:jc w:val="both"/>
      </w:pPr>
      <w:r w:rsidRPr="008401CA">
        <w:t>#Muscle</w:t>
      </w:r>
    </w:p>
    <w:p w14:paraId="271B168E" w14:textId="77777777" w:rsidR="00544686" w:rsidRPr="008401CA" w:rsidRDefault="00544686" w:rsidP="008401CA">
      <w:pPr>
        <w:pStyle w:val="NoSpacing"/>
        <w:spacing w:line="360" w:lineRule="auto"/>
        <w:jc w:val="both"/>
      </w:pPr>
      <w:r w:rsidRPr="008401CA">
        <w:lastRenderedPageBreak/>
        <w:t>(succinylcholine).ti, ab OR (suxamethonium).ti, ab OR (vecuronium).ti, ab OR (atracurium).ti, ab OR (neostigmine).ti, ab OR (pyridostigmine).ti, ab</w:t>
      </w:r>
    </w:p>
    <w:p w14:paraId="553D1EAD" w14:textId="77777777" w:rsidR="00544686" w:rsidRPr="008401CA" w:rsidRDefault="00544686" w:rsidP="008401CA">
      <w:pPr>
        <w:pStyle w:val="NoSpacing"/>
        <w:spacing w:line="360" w:lineRule="auto"/>
        <w:jc w:val="both"/>
      </w:pPr>
    </w:p>
    <w:p w14:paraId="24CEAB91" w14:textId="77777777" w:rsidR="00544686" w:rsidRPr="008401CA" w:rsidRDefault="00544686" w:rsidP="008401CA">
      <w:pPr>
        <w:pStyle w:val="NoSpacing"/>
        <w:spacing w:line="360" w:lineRule="auto"/>
        <w:jc w:val="both"/>
      </w:pPr>
      <w:r w:rsidRPr="008401CA">
        <w:t>#LA</w:t>
      </w:r>
    </w:p>
    <w:p w14:paraId="27988F8D" w14:textId="77777777" w:rsidR="00544686" w:rsidRPr="008401CA" w:rsidRDefault="00544686" w:rsidP="008401CA">
      <w:pPr>
        <w:pStyle w:val="NoSpacing"/>
        <w:spacing w:line="360" w:lineRule="auto"/>
        <w:jc w:val="both"/>
      </w:pPr>
      <w:r w:rsidRPr="008401CA">
        <w:t>(bupivicaine).ti, ab OR (lidocaine).ti, ab OR (lignocaine).ti, ab</w:t>
      </w:r>
    </w:p>
    <w:p w14:paraId="22C7DEB4" w14:textId="77777777" w:rsidR="00544686" w:rsidRPr="008401CA" w:rsidRDefault="00544686" w:rsidP="008401CA">
      <w:pPr>
        <w:pStyle w:val="NoSpacing"/>
        <w:spacing w:line="360" w:lineRule="auto"/>
        <w:jc w:val="both"/>
      </w:pPr>
    </w:p>
    <w:p w14:paraId="68B767FE" w14:textId="77777777" w:rsidR="00544686" w:rsidRPr="008401CA" w:rsidRDefault="00544686" w:rsidP="008401CA">
      <w:pPr>
        <w:pStyle w:val="NoSpacing"/>
        <w:spacing w:line="360" w:lineRule="auto"/>
        <w:jc w:val="both"/>
      </w:pPr>
      <w:r w:rsidRPr="008401CA">
        <w:t>#outcomes</w:t>
      </w:r>
    </w:p>
    <w:p w14:paraId="5F1D7BD9" w14:textId="77777777" w:rsidR="00544686" w:rsidRPr="008401CA" w:rsidRDefault="00544686" w:rsidP="008401CA">
      <w:pPr>
        <w:pStyle w:val="NoSpacing"/>
        <w:spacing w:line="360" w:lineRule="auto"/>
        <w:jc w:val="both"/>
      </w:pPr>
      <w:r w:rsidRPr="008401CA">
        <w:t>(environmen*).ti, ab OR (pollut*).ti, ab OR (waste*).ti, ab OR (greenhouse).ti, ab OR (ozone).ti, ab OR (contaminat*).ti, ab OR (ecolog*).ti, ab OR (carbon).ti, ab OR (warming).ti, ab OR (climate).ti, ab</w:t>
      </w:r>
    </w:p>
    <w:p w14:paraId="646B1B06" w14:textId="77777777" w:rsidR="00544686" w:rsidRPr="008401CA" w:rsidRDefault="00544686" w:rsidP="008401CA">
      <w:pPr>
        <w:pStyle w:val="NoSpacing"/>
        <w:spacing w:line="360" w:lineRule="auto"/>
        <w:jc w:val="both"/>
      </w:pPr>
    </w:p>
    <w:p w14:paraId="57D98DB2" w14:textId="77777777" w:rsidR="00142AB4" w:rsidRPr="008401CA" w:rsidRDefault="00142AB4" w:rsidP="008401CA">
      <w:pPr>
        <w:pStyle w:val="NoSpacing"/>
        <w:spacing w:line="360" w:lineRule="auto"/>
        <w:jc w:val="both"/>
        <w:rPr>
          <w:sz w:val="24"/>
          <w:szCs w:val="24"/>
        </w:rPr>
      </w:pPr>
      <w:r w:rsidRPr="008401CA">
        <w:rPr>
          <w:sz w:val="24"/>
          <w:szCs w:val="24"/>
        </w:rPr>
        <w:t>Types of study to be included</w:t>
      </w:r>
    </w:p>
    <w:p w14:paraId="2F58E9A6" w14:textId="3071340F" w:rsidR="00BF2F0B" w:rsidRPr="008401CA" w:rsidRDefault="001D0AF8" w:rsidP="008401CA">
      <w:pPr>
        <w:pStyle w:val="NoSpacing"/>
        <w:spacing w:line="360" w:lineRule="auto"/>
        <w:jc w:val="both"/>
      </w:pPr>
      <w:r w:rsidRPr="008401CA">
        <w:t>Basic Science, physical chemistry, laboratory research papers</w:t>
      </w:r>
    </w:p>
    <w:p w14:paraId="01E6FE6B" w14:textId="77777777" w:rsidR="00380788" w:rsidRPr="008401CA" w:rsidRDefault="00380788" w:rsidP="008401CA">
      <w:pPr>
        <w:pStyle w:val="NoSpacing"/>
        <w:spacing w:line="360" w:lineRule="auto"/>
        <w:jc w:val="both"/>
      </w:pPr>
    </w:p>
    <w:p w14:paraId="1F188B38" w14:textId="6C0B3619" w:rsidR="001D0AF8" w:rsidRPr="008401CA" w:rsidRDefault="001D0AF8" w:rsidP="008401CA">
      <w:pPr>
        <w:pStyle w:val="NoSpacing"/>
        <w:spacing w:line="360" w:lineRule="auto"/>
        <w:jc w:val="both"/>
      </w:pPr>
      <w:r w:rsidRPr="008401CA">
        <w:t>Clinical studies</w:t>
      </w:r>
    </w:p>
    <w:p w14:paraId="05273E91" w14:textId="056E2915" w:rsidR="001D0AF8" w:rsidRPr="008401CA" w:rsidRDefault="001D0AF8" w:rsidP="008401CA">
      <w:pPr>
        <w:pStyle w:val="NoSpacing"/>
        <w:spacing w:line="360" w:lineRule="auto"/>
        <w:jc w:val="both"/>
      </w:pPr>
    </w:p>
    <w:p w14:paraId="6E2AAB38" w14:textId="0CBFBC53" w:rsidR="001D0AF8" w:rsidRPr="008401CA" w:rsidRDefault="001D0AF8" w:rsidP="008401CA">
      <w:pPr>
        <w:pStyle w:val="NoSpacing"/>
        <w:spacing w:line="360" w:lineRule="auto"/>
        <w:jc w:val="both"/>
      </w:pPr>
      <w:r w:rsidRPr="008401CA">
        <w:t>Human, Animal studies</w:t>
      </w:r>
    </w:p>
    <w:p w14:paraId="32A8861C" w14:textId="4FE30CE9" w:rsidR="001D0AF8" w:rsidRPr="008401CA" w:rsidRDefault="001D0AF8" w:rsidP="008401CA">
      <w:pPr>
        <w:pStyle w:val="NoSpacing"/>
        <w:spacing w:line="360" w:lineRule="auto"/>
        <w:jc w:val="both"/>
      </w:pPr>
    </w:p>
    <w:p w14:paraId="547334B7" w14:textId="77D52803" w:rsidR="001D0AF8" w:rsidRPr="008401CA" w:rsidRDefault="001D0AF8" w:rsidP="008401CA">
      <w:pPr>
        <w:pStyle w:val="NoSpacing"/>
        <w:spacing w:line="360" w:lineRule="auto"/>
        <w:jc w:val="both"/>
      </w:pPr>
      <w:r w:rsidRPr="008401CA">
        <w:t>All languages</w:t>
      </w:r>
    </w:p>
    <w:p w14:paraId="687E36B3" w14:textId="77777777" w:rsidR="001D0AF8" w:rsidRPr="008401CA" w:rsidRDefault="001D0AF8" w:rsidP="008401CA">
      <w:pPr>
        <w:pStyle w:val="NoSpacing"/>
        <w:spacing w:line="360" w:lineRule="auto"/>
        <w:jc w:val="both"/>
      </w:pPr>
    </w:p>
    <w:p w14:paraId="03E19753" w14:textId="6465C58F" w:rsidR="00544686" w:rsidRPr="008401CA" w:rsidRDefault="00544686" w:rsidP="008401CA">
      <w:pPr>
        <w:pStyle w:val="NoSpacing"/>
        <w:spacing w:line="360" w:lineRule="auto"/>
        <w:jc w:val="both"/>
      </w:pPr>
      <w:r w:rsidRPr="008401CA">
        <w:t>Studies will be included if they include the drugs as defined by the WHO medicines list for anaesthesia:</w:t>
      </w:r>
    </w:p>
    <w:p w14:paraId="0076EE39" w14:textId="77777777" w:rsidR="00544686" w:rsidRPr="008401CA" w:rsidRDefault="00544686" w:rsidP="008401CA">
      <w:pPr>
        <w:pStyle w:val="NoSpacing"/>
        <w:spacing w:line="360" w:lineRule="auto"/>
        <w:jc w:val="both"/>
      </w:pPr>
      <w:r w:rsidRPr="008401CA">
        <w:t>1.1.1 (volatile anaesthetic agents): Halothane, Isoflurane, Nitrous Oxide</w:t>
      </w:r>
    </w:p>
    <w:p w14:paraId="6D9DB47B" w14:textId="77777777" w:rsidR="00544686" w:rsidRPr="008401CA" w:rsidRDefault="00544686" w:rsidP="008401CA">
      <w:pPr>
        <w:pStyle w:val="NoSpacing"/>
        <w:spacing w:line="360" w:lineRule="auto"/>
        <w:jc w:val="both"/>
      </w:pPr>
      <w:r w:rsidRPr="008401CA">
        <w:t>1.1.2 (IV anaesthetic agents): Propofol, Ketamine, Thiopentone</w:t>
      </w:r>
    </w:p>
    <w:p w14:paraId="5621C03B" w14:textId="77777777" w:rsidR="00544686" w:rsidRPr="008401CA" w:rsidRDefault="00544686" w:rsidP="008401CA">
      <w:pPr>
        <w:pStyle w:val="NoSpacing"/>
        <w:spacing w:line="360" w:lineRule="auto"/>
        <w:jc w:val="both"/>
      </w:pPr>
      <w:r w:rsidRPr="008401CA">
        <w:t>1.2 (Local anaesthetic agents): Bupivicaine, Lidocaine</w:t>
      </w:r>
    </w:p>
    <w:p w14:paraId="67D86BE0" w14:textId="77777777" w:rsidR="00544686" w:rsidRPr="008401CA" w:rsidRDefault="00544686" w:rsidP="008401CA">
      <w:pPr>
        <w:pStyle w:val="NoSpacing"/>
        <w:spacing w:line="360" w:lineRule="auto"/>
        <w:jc w:val="both"/>
      </w:pPr>
      <w:r w:rsidRPr="008401CA">
        <w:t>20 (Muscle relaxants): Atracurium, Suxamethonium, Vecuronium, Neostigmine</w:t>
      </w:r>
    </w:p>
    <w:p w14:paraId="74AF6569" w14:textId="77777777" w:rsidR="00544686" w:rsidRPr="008401CA" w:rsidRDefault="00544686" w:rsidP="008401CA">
      <w:pPr>
        <w:pStyle w:val="NoSpacing"/>
        <w:spacing w:line="360" w:lineRule="auto"/>
        <w:jc w:val="both"/>
      </w:pPr>
    </w:p>
    <w:p w14:paraId="07D262B6" w14:textId="77777777" w:rsidR="00544686" w:rsidRPr="008401CA" w:rsidRDefault="00544686" w:rsidP="008401CA">
      <w:pPr>
        <w:pStyle w:val="NoSpacing"/>
        <w:spacing w:line="360" w:lineRule="auto"/>
        <w:jc w:val="both"/>
      </w:pPr>
      <w:r w:rsidRPr="008401CA">
        <w:t>OR </w:t>
      </w:r>
    </w:p>
    <w:p w14:paraId="2D219372" w14:textId="77777777" w:rsidR="00544686" w:rsidRPr="008401CA" w:rsidRDefault="00544686" w:rsidP="008401CA">
      <w:pPr>
        <w:pStyle w:val="NoSpacing"/>
        <w:spacing w:line="360" w:lineRule="auto"/>
        <w:jc w:val="both"/>
      </w:pPr>
    </w:p>
    <w:p w14:paraId="7C224025" w14:textId="77777777" w:rsidR="00544686" w:rsidRPr="008401CA" w:rsidRDefault="00544686" w:rsidP="008401CA">
      <w:pPr>
        <w:pStyle w:val="NoSpacing"/>
        <w:spacing w:line="360" w:lineRule="auto"/>
        <w:jc w:val="both"/>
      </w:pPr>
      <w:r w:rsidRPr="008401CA">
        <w:t>commonly used inhalational agents of interest: Sevoflurane, Desflurane</w:t>
      </w:r>
    </w:p>
    <w:p w14:paraId="4903D370" w14:textId="77777777" w:rsidR="00544686" w:rsidRPr="008401CA" w:rsidRDefault="00544686" w:rsidP="008401CA">
      <w:pPr>
        <w:pStyle w:val="NoSpacing"/>
        <w:spacing w:line="360" w:lineRule="auto"/>
        <w:jc w:val="both"/>
      </w:pPr>
    </w:p>
    <w:p w14:paraId="4C8E33CA" w14:textId="77777777" w:rsidR="00785050" w:rsidRPr="008401CA" w:rsidRDefault="00785050" w:rsidP="008401CA">
      <w:pPr>
        <w:pStyle w:val="NoSpacing"/>
        <w:spacing w:line="360" w:lineRule="auto"/>
        <w:jc w:val="both"/>
      </w:pPr>
    </w:p>
    <w:p w14:paraId="32D33D3D" w14:textId="06659AC3" w:rsidR="00544686" w:rsidRPr="008401CA" w:rsidRDefault="00544686" w:rsidP="008401CA">
      <w:pPr>
        <w:pStyle w:val="NoSpacing"/>
        <w:spacing w:line="360" w:lineRule="auto"/>
        <w:jc w:val="both"/>
      </w:pPr>
      <w:r w:rsidRPr="008401CA">
        <w:t>Studies will be selected if they include data on any part of the 'cradle to grave' life cycle of the drugs which will be classified as</w:t>
      </w:r>
      <w:r w:rsidR="00785050" w:rsidRPr="008401CA">
        <w:t xml:space="preserve"> one of seven steps</w:t>
      </w:r>
      <w:r w:rsidRPr="008401CA">
        <w:t>:</w:t>
      </w:r>
    </w:p>
    <w:p w14:paraId="6CE126EC" w14:textId="77777777" w:rsidR="00544686" w:rsidRPr="008401CA" w:rsidRDefault="00544686" w:rsidP="008401CA">
      <w:pPr>
        <w:pStyle w:val="NoSpacing"/>
        <w:spacing w:line="360" w:lineRule="auto"/>
        <w:jc w:val="both"/>
      </w:pPr>
    </w:p>
    <w:p w14:paraId="149F1CCE" w14:textId="5073E938" w:rsidR="00544686" w:rsidRPr="008401CA" w:rsidRDefault="00544686" w:rsidP="008401CA">
      <w:pPr>
        <w:pStyle w:val="NoSpacing"/>
        <w:spacing w:line="360" w:lineRule="auto"/>
        <w:jc w:val="both"/>
      </w:pPr>
      <w:r w:rsidRPr="008401CA">
        <w:t>1. Raw materials (where do they come from, how are they sourced)</w:t>
      </w:r>
    </w:p>
    <w:p w14:paraId="3720C20F" w14:textId="77777777" w:rsidR="00544686" w:rsidRPr="008401CA" w:rsidRDefault="00544686" w:rsidP="008401CA">
      <w:pPr>
        <w:pStyle w:val="NoSpacing"/>
        <w:spacing w:line="360" w:lineRule="auto"/>
        <w:jc w:val="both"/>
      </w:pPr>
    </w:p>
    <w:p w14:paraId="7EC18E44" w14:textId="77777777" w:rsidR="00544686" w:rsidRPr="008401CA" w:rsidRDefault="00544686" w:rsidP="008401CA">
      <w:pPr>
        <w:pStyle w:val="NoSpacing"/>
        <w:spacing w:line="360" w:lineRule="auto"/>
        <w:jc w:val="both"/>
      </w:pPr>
      <w:r w:rsidRPr="008401CA">
        <w:t>2.Manufacturing process of the agent: to include but not be limited by - energy used, solvents used, isolation/purification procedure what happens to the waste of manufacture</w:t>
      </w:r>
    </w:p>
    <w:p w14:paraId="627BB838" w14:textId="77777777" w:rsidR="00544686" w:rsidRPr="008401CA" w:rsidRDefault="00544686" w:rsidP="008401CA">
      <w:pPr>
        <w:pStyle w:val="NoSpacing"/>
        <w:spacing w:line="360" w:lineRule="auto"/>
        <w:jc w:val="both"/>
      </w:pPr>
    </w:p>
    <w:p w14:paraId="3F571D60" w14:textId="77777777" w:rsidR="00544686" w:rsidRPr="008401CA" w:rsidRDefault="00544686" w:rsidP="008401CA">
      <w:pPr>
        <w:pStyle w:val="NoSpacing"/>
        <w:spacing w:line="360" w:lineRule="auto"/>
        <w:jc w:val="both"/>
      </w:pPr>
      <w:r w:rsidRPr="008401CA">
        <w:lastRenderedPageBreak/>
        <w:t>3.Packaging - making the packaging (glass ampules/metal cannisters/boxes/plastic)</w:t>
      </w:r>
    </w:p>
    <w:p w14:paraId="0C0ECE56" w14:textId="77777777" w:rsidR="00544686" w:rsidRPr="008401CA" w:rsidRDefault="00544686" w:rsidP="008401CA">
      <w:pPr>
        <w:pStyle w:val="NoSpacing"/>
        <w:spacing w:line="360" w:lineRule="auto"/>
        <w:jc w:val="both"/>
      </w:pPr>
    </w:p>
    <w:p w14:paraId="2F0E6048" w14:textId="77777777" w:rsidR="00544686" w:rsidRPr="008401CA" w:rsidRDefault="00544686" w:rsidP="008401CA">
      <w:pPr>
        <w:pStyle w:val="NoSpacing"/>
        <w:spacing w:line="360" w:lineRule="auto"/>
        <w:jc w:val="both"/>
      </w:pPr>
      <w:r w:rsidRPr="008401CA">
        <w:t>4. Distribution, transport and delivery of drug product</w:t>
      </w:r>
    </w:p>
    <w:p w14:paraId="559075FC" w14:textId="77777777" w:rsidR="00544686" w:rsidRPr="008401CA" w:rsidRDefault="00544686" w:rsidP="008401CA">
      <w:pPr>
        <w:pStyle w:val="NoSpacing"/>
        <w:spacing w:line="360" w:lineRule="auto"/>
        <w:jc w:val="both"/>
      </w:pPr>
    </w:p>
    <w:p w14:paraId="220B177F" w14:textId="09C6E090" w:rsidR="00544686" w:rsidRPr="008401CA" w:rsidRDefault="00544686" w:rsidP="008401CA">
      <w:pPr>
        <w:pStyle w:val="NoSpacing"/>
        <w:spacing w:line="360" w:lineRule="auto"/>
        <w:jc w:val="both"/>
      </w:pPr>
      <w:r w:rsidRPr="008401CA">
        <w:t>5. Disposal (methods of) of waste packaging, including needles, syringes</w:t>
      </w:r>
      <w:r w:rsidR="00785050" w:rsidRPr="008401CA">
        <w:t>, infusion sets etc.</w:t>
      </w:r>
    </w:p>
    <w:p w14:paraId="1E911989" w14:textId="77777777" w:rsidR="00544686" w:rsidRPr="008401CA" w:rsidRDefault="00544686" w:rsidP="008401CA">
      <w:pPr>
        <w:pStyle w:val="NoSpacing"/>
        <w:spacing w:line="360" w:lineRule="auto"/>
        <w:jc w:val="both"/>
      </w:pPr>
    </w:p>
    <w:p w14:paraId="3F8D71AA" w14:textId="77777777" w:rsidR="00544686" w:rsidRPr="008401CA" w:rsidRDefault="00544686" w:rsidP="008401CA">
      <w:pPr>
        <w:pStyle w:val="NoSpacing"/>
        <w:spacing w:line="360" w:lineRule="auto"/>
        <w:jc w:val="both"/>
      </w:pPr>
      <w:r w:rsidRPr="008401CA">
        <w:t>6. Disposal of expired drug</w:t>
      </w:r>
    </w:p>
    <w:p w14:paraId="304E58E1" w14:textId="77777777" w:rsidR="00544686" w:rsidRPr="008401CA" w:rsidRDefault="00544686" w:rsidP="008401CA">
      <w:pPr>
        <w:pStyle w:val="NoSpacing"/>
        <w:spacing w:line="360" w:lineRule="auto"/>
        <w:jc w:val="both"/>
      </w:pPr>
    </w:p>
    <w:p w14:paraId="48B48C93" w14:textId="77777777" w:rsidR="00544686" w:rsidRPr="008401CA" w:rsidRDefault="00544686" w:rsidP="008401CA">
      <w:pPr>
        <w:pStyle w:val="NoSpacing"/>
        <w:spacing w:line="360" w:lineRule="auto"/>
        <w:jc w:val="both"/>
      </w:pPr>
      <w:r w:rsidRPr="008401CA">
        <w:t>7. Excretion of drug and metabolites from the patient - for example - water waste treatment/scavenging</w:t>
      </w:r>
    </w:p>
    <w:p w14:paraId="7012EBA0" w14:textId="77777777" w:rsidR="00A27F52" w:rsidRPr="008401CA" w:rsidRDefault="00A27F52" w:rsidP="008401CA">
      <w:pPr>
        <w:pStyle w:val="NoSpacing"/>
        <w:spacing w:line="360" w:lineRule="auto"/>
        <w:jc w:val="both"/>
      </w:pPr>
    </w:p>
    <w:p w14:paraId="23C3A172" w14:textId="20CDDB5C" w:rsidR="00142AB4" w:rsidRPr="008401CA" w:rsidRDefault="00142AB4" w:rsidP="008401CA">
      <w:pPr>
        <w:pStyle w:val="NoSpacing"/>
        <w:spacing w:line="360" w:lineRule="auto"/>
        <w:jc w:val="both"/>
      </w:pPr>
      <w:r w:rsidRPr="008401CA">
        <w:t>Any study presenting research data</w:t>
      </w:r>
      <w:r w:rsidR="00785050" w:rsidRPr="008401CA">
        <w:t xml:space="preserve"> will be included</w:t>
      </w:r>
      <w:r w:rsidRPr="008401CA">
        <w:t xml:space="preserve">, studies will be excluded if they present expert opinion only. </w:t>
      </w:r>
    </w:p>
    <w:p w14:paraId="500F5A67" w14:textId="45CE30A5" w:rsidR="00142AB4" w:rsidRPr="008401CA" w:rsidRDefault="00142AB4" w:rsidP="008401CA">
      <w:pPr>
        <w:pStyle w:val="NoSpacing"/>
        <w:spacing w:line="360" w:lineRule="auto"/>
        <w:jc w:val="both"/>
      </w:pPr>
    </w:p>
    <w:p w14:paraId="122CF65F" w14:textId="5483A760" w:rsidR="00BF19F9" w:rsidRPr="008401CA" w:rsidRDefault="00BF19F9" w:rsidP="008401CA">
      <w:pPr>
        <w:pStyle w:val="NoSpacing"/>
        <w:spacing w:line="360" w:lineRule="auto"/>
        <w:jc w:val="both"/>
        <w:rPr>
          <w:sz w:val="24"/>
          <w:szCs w:val="24"/>
        </w:rPr>
      </w:pPr>
      <w:r w:rsidRPr="008401CA">
        <w:rPr>
          <w:sz w:val="24"/>
          <w:szCs w:val="24"/>
        </w:rPr>
        <w:t>Screening and selection of papers</w:t>
      </w:r>
    </w:p>
    <w:p w14:paraId="7F793BB9" w14:textId="4BCBC01E" w:rsidR="00142AB4" w:rsidRPr="008401CA" w:rsidRDefault="00785050" w:rsidP="008401CA">
      <w:pPr>
        <w:pStyle w:val="NoSpacing"/>
        <w:spacing w:line="360" w:lineRule="auto"/>
        <w:jc w:val="both"/>
      </w:pPr>
      <w:r w:rsidRPr="008401CA">
        <w:t>Records</w:t>
      </w:r>
      <w:r w:rsidR="00142AB4" w:rsidRPr="008401CA">
        <w:t xml:space="preserve"> </w:t>
      </w:r>
      <w:r w:rsidRPr="008401CA">
        <w:t>will be</w:t>
      </w:r>
      <w:r w:rsidR="00142AB4" w:rsidRPr="008401CA">
        <w:t xml:space="preserve"> </w:t>
      </w:r>
      <w:r w:rsidR="00AD3FFB" w:rsidRPr="008401CA">
        <w:t>held in</w:t>
      </w:r>
      <w:r w:rsidR="00142AB4" w:rsidRPr="008401CA">
        <w:t xml:space="preserve"> </w:t>
      </w:r>
      <w:r w:rsidRPr="008401CA">
        <w:t xml:space="preserve">a dedicated </w:t>
      </w:r>
      <w:r w:rsidR="00142AB4" w:rsidRPr="008401CA">
        <w:t>Mendeley</w:t>
      </w:r>
      <w:r w:rsidRPr="008401CA">
        <w:t xml:space="preserve"> group</w:t>
      </w:r>
      <w:r w:rsidR="00142AB4" w:rsidRPr="008401CA">
        <w:t xml:space="preserve">. Duplicates </w:t>
      </w:r>
      <w:r w:rsidRPr="008401CA">
        <w:t>will be</w:t>
      </w:r>
      <w:r w:rsidR="00142AB4" w:rsidRPr="008401CA">
        <w:t xml:space="preserve"> removed. </w:t>
      </w:r>
      <w:r w:rsidRPr="008401CA">
        <w:t xml:space="preserve"> The title and abstract of each record will be screened in duplicate by investigators acting independently against the following criteria</w:t>
      </w:r>
      <w:r w:rsidR="00142AB4" w:rsidRPr="008401CA">
        <w:t>;</w:t>
      </w:r>
    </w:p>
    <w:p w14:paraId="68F5B36B" w14:textId="77777777" w:rsidR="00380788" w:rsidRPr="008401CA" w:rsidRDefault="00380788" w:rsidP="008401CA">
      <w:pPr>
        <w:pStyle w:val="NoSpacing"/>
        <w:spacing w:line="360" w:lineRule="auto"/>
        <w:jc w:val="both"/>
      </w:pPr>
    </w:p>
    <w:p w14:paraId="68F51839" w14:textId="0820AF67" w:rsidR="00142AB4" w:rsidRPr="008401CA" w:rsidRDefault="00142AB4" w:rsidP="008401CA">
      <w:pPr>
        <w:pStyle w:val="NoSpacing"/>
        <w:spacing w:line="360" w:lineRule="auto"/>
        <w:jc w:val="both"/>
      </w:pPr>
      <w:r w:rsidRPr="008401CA">
        <w:t>Type of study: all studies except for expert opinion</w:t>
      </w:r>
    </w:p>
    <w:p w14:paraId="037A5BCE" w14:textId="77777777" w:rsidR="00380788" w:rsidRPr="008401CA" w:rsidRDefault="00380788" w:rsidP="008401CA">
      <w:pPr>
        <w:pStyle w:val="NoSpacing"/>
        <w:spacing w:line="360" w:lineRule="auto"/>
        <w:jc w:val="both"/>
      </w:pPr>
    </w:p>
    <w:p w14:paraId="1DAF31D4" w14:textId="3A4E673A" w:rsidR="00142AB4" w:rsidRPr="008401CA" w:rsidRDefault="00142AB4" w:rsidP="008401CA">
      <w:pPr>
        <w:pStyle w:val="NoSpacing"/>
        <w:spacing w:line="360" w:lineRule="auto"/>
        <w:jc w:val="both"/>
      </w:pPr>
      <w:r w:rsidRPr="008401CA">
        <w:t>Inclusion of the specific drugs as described in population/inclusion criteria: Propofol, ketamine, midazolam, halothane, sevoflurane, isoflurane, desflurane, nitrous oxide</w:t>
      </w:r>
      <w:r w:rsidR="00785050" w:rsidRPr="008401CA">
        <w:t>, Atracurium, Suxamethonium, Vecuronium, Neostigmine, Bupivicaine, Lignocaine</w:t>
      </w:r>
    </w:p>
    <w:p w14:paraId="24E21F9A" w14:textId="77777777" w:rsidR="00447CE2" w:rsidRPr="008401CA" w:rsidRDefault="00447CE2" w:rsidP="008401CA">
      <w:pPr>
        <w:pStyle w:val="NoSpacing"/>
        <w:spacing w:line="360" w:lineRule="auto"/>
        <w:jc w:val="both"/>
      </w:pPr>
    </w:p>
    <w:p w14:paraId="651753CD" w14:textId="5CBD6627" w:rsidR="00142AB4" w:rsidRPr="008401CA" w:rsidRDefault="00142AB4" w:rsidP="008401CA">
      <w:pPr>
        <w:pStyle w:val="NoSpacing"/>
        <w:spacing w:line="360" w:lineRule="auto"/>
        <w:jc w:val="both"/>
      </w:pPr>
      <w:r w:rsidRPr="008401CA">
        <w:t>Reporting of any environmental impact assessment and/or life cycle analysis</w:t>
      </w:r>
      <w:r w:rsidR="00380788" w:rsidRPr="008401CA">
        <w:t>:</w:t>
      </w:r>
      <w:r w:rsidRPr="008401CA">
        <w:t xml:space="preserve"> global warming potential, atmospheric life time, indirect and direct carbon dioxide emissions, </w:t>
      </w:r>
      <w:r w:rsidR="00BF19F9" w:rsidRPr="008401CA">
        <w:t>effect on soil/water/ecosystem from point of manufacture through to d</w:t>
      </w:r>
      <w:r w:rsidRPr="008401CA">
        <w:t>isposal</w:t>
      </w:r>
      <w:r w:rsidR="00447CE2" w:rsidRPr="008401CA">
        <w:t>.</w:t>
      </w:r>
    </w:p>
    <w:p w14:paraId="11E32254" w14:textId="77777777" w:rsidR="00447CE2" w:rsidRPr="008401CA" w:rsidRDefault="00447CE2" w:rsidP="008401CA">
      <w:pPr>
        <w:pStyle w:val="NoSpacing"/>
        <w:spacing w:line="360" w:lineRule="auto"/>
        <w:jc w:val="both"/>
      </w:pPr>
    </w:p>
    <w:p w14:paraId="0A5F5C56" w14:textId="1D74349D" w:rsidR="00BF19F9" w:rsidRPr="008401CA" w:rsidRDefault="00785050" w:rsidP="008401CA">
      <w:pPr>
        <w:pStyle w:val="NoSpacing"/>
        <w:spacing w:line="360" w:lineRule="auto"/>
        <w:jc w:val="both"/>
      </w:pPr>
      <w:r w:rsidRPr="008401CA">
        <w:t xml:space="preserve">After screening, </w:t>
      </w:r>
      <w:r w:rsidR="00AD3FFB" w:rsidRPr="008401CA">
        <w:t xml:space="preserve">the full text of </w:t>
      </w:r>
      <w:r w:rsidRPr="008401CA">
        <w:t>any record selected for inclusion by any investigator</w:t>
      </w:r>
      <w:r w:rsidR="00AD3FFB" w:rsidRPr="008401CA">
        <w:t xml:space="preserve"> will be obtained. Full texts will </w:t>
      </w:r>
      <w:r w:rsidR="00BF19F9" w:rsidRPr="008401CA">
        <w:t xml:space="preserve">then </w:t>
      </w:r>
      <w:r w:rsidR="00AD3FFB" w:rsidRPr="008401CA">
        <w:t xml:space="preserve">be assessed </w:t>
      </w:r>
      <w:r w:rsidR="00BF19F9" w:rsidRPr="008401CA">
        <w:t xml:space="preserve">by two independent reviewers </w:t>
      </w:r>
      <w:r w:rsidR="00AD3FFB" w:rsidRPr="008401CA">
        <w:t>against the above inclusion criteria. Any d</w:t>
      </w:r>
      <w:r w:rsidR="00142AB4" w:rsidRPr="008401CA">
        <w:t>iscrepancies</w:t>
      </w:r>
      <w:r w:rsidR="00AD3FFB" w:rsidRPr="008401CA">
        <w:t xml:space="preserve"> between </w:t>
      </w:r>
      <w:r w:rsidR="00BF19F9" w:rsidRPr="008401CA">
        <w:t>reviewers</w:t>
      </w:r>
      <w:r w:rsidR="00142AB4" w:rsidRPr="008401CA">
        <w:t xml:space="preserve"> will be </w:t>
      </w:r>
      <w:r w:rsidR="00BF19F9" w:rsidRPr="008401CA">
        <w:t>adjudicated</w:t>
      </w:r>
      <w:r w:rsidR="00142AB4" w:rsidRPr="008401CA">
        <w:t xml:space="preserve"> by a third member of the team</w:t>
      </w:r>
      <w:r w:rsidR="00AD3FFB" w:rsidRPr="008401CA">
        <w:t>. The reason for exclusion of studies excluded at this stage will be documented.</w:t>
      </w:r>
      <w:r w:rsidR="00BF19F9" w:rsidRPr="008401CA">
        <w:t xml:space="preserve"> The references will be screened for each paper for other relevant papers to be included.</w:t>
      </w:r>
    </w:p>
    <w:p w14:paraId="48E29DA7" w14:textId="77777777" w:rsidR="00142AB4" w:rsidRPr="008401CA" w:rsidRDefault="00142AB4" w:rsidP="008401CA">
      <w:pPr>
        <w:pStyle w:val="NoSpacing"/>
        <w:spacing w:line="360" w:lineRule="auto"/>
        <w:jc w:val="both"/>
      </w:pPr>
    </w:p>
    <w:p w14:paraId="430E136C" w14:textId="3AD4DD4A" w:rsidR="00142AB4" w:rsidRPr="008401CA" w:rsidRDefault="00142AB4" w:rsidP="008401CA">
      <w:pPr>
        <w:pStyle w:val="NoSpacing"/>
        <w:spacing w:line="360" w:lineRule="auto"/>
        <w:jc w:val="both"/>
        <w:rPr>
          <w:sz w:val="24"/>
          <w:szCs w:val="24"/>
        </w:rPr>
      </w:pPr>
      <w:r w:rsidRPr="008401CA">
        <w:rPr>
          <w:sz w:val="24"/>
          <w:szCs w:val="24"/>
        </w:rPr>
        <w:t>Data extraction</w:t>
      </w:r>
      <w:r w:rsidR="00BF19F9" w:rsidRPr="008401CA">
        <w:rPr>
          <w:sz w:val="24"/>
          <w:szCs w:val="24"/>
        </w:rPr>
        <w:t xml:space="preserve"> from full texts</w:t>
      </w:r>
    </w:p>
    <w:p w14:paraId="2C4BE3B2" w14:textId="259C033B" w:rsidR="007B0EF6" w:rsidRPr="008401CA" w:rsidRDefault="007B0EF6" w:rsidP="008401CA">
      <w:pPr>
        <w:pStyle w:val="NoSpacing"/>
        <w:spacing w:line="360" w:lineRule="auto"/>
        <w:jc w:val="both"/>
      </w:pPr>
      <w:r w:rsidRPr="008401CA">
        <w:t>Data collected will be in the following domains for all papers:</w:t>
      </w:r>
    </w:p>
    <w:p w14:paraId="766AEFDD" w14:textId="77777777" w:rsidR="007B0EF6" w:rsidRPr="008401CA" w:rsidRDefault="007B0EF6" w:rsidP="008401CA">
      <w:pPr>
        <w:pStyle w:val="NoSpacing"/>
        <w:spacing w:line="360" w:lineRule="auto"/>
        <w:jc w:val="both"/>
      </w:pPr>
      <w:r w:rsidRPr="008401CA">
        <w:t>1. Article information</w:t>
      </w:r>
    </w:p>
    <w:p w14:paraId="7F80E712" w14:textId="77777777" w:rsidR="007B0EF6" w:rsidRPr="008401CA" w:rsidRDefault="007B0EF6" w:rsidP="008401CA">
      <w:pPr>
        <w:pStyle w:val="NoSpacing"/>
        <w:spacing w:line="360" w:lineRule="auto"/>
        <w:jc w:val="both"/>
      </w:pPr>
      <w:r w:rsidRPr="008401CA">
        <w:t>- Title of the article</w:t>
      </w:r>
    </w:p>
    <w:p w14:paraId="0F2D8C10" w14:textId="5D91C635" w:rsidR="007B0EF6" w:rsidRPr="008401CA" w:rsidRDefault="007B0EF6" w:rsidP="008401CA">
      <w:pPr>
        <w:pStyle w:val="NoSpacing"/>
        <w:spacing w:line="360" w:lineRule="auto"/>
        <w:jc w:val="both"/>
      </w:pPr>
      <w:r w:rsidRPr="008401CA">
        <w:t>- Drug investigated and reported upon</w:t>
      </w:r>
    </w:p>
    <w:p w14:paraId="6162F24A" w14:textId="77777777" w:rsidR="007B0EF6" w:rsidRPr="008401CA" w:rsidRDefault="007B0EF6" w:rsidP="008401CA">
      <w:pPr>
        <w:pStyle w:val="NoSpacing"/>
        <w:spacing w:line="360" w:lineRule="auto"/>
        <w:jc w:val="both"/>
      </w:pPr>
      <w:r w:rsidRPr="008401CA">
        <w:t>- Lead Author</w:t>
      </w:r>
    </w:p>
    <w:p w14:paraId="2BF5EEBB" w14:textId="77777777" w:rsidR="007B0EF6" w:rsidRPr="008401CA" w:rsidRDefault="007B0EF6" w:rsidP="008401CA">
      <w:pPr>
        <w:pStyle w:val="NoSpacing"/>
        <w:spacing w:line="360" w:lineRule="auto"/>
        <w:jc w:val="both"/>
      </w:pPr>
      <w:r w:rsidRPr="008401CA">
        <w:lastRenderedPageBreak/>
        <w:t>- Year of publication</w:t>
      </w:r>
    </w:p>
    <w:p w14:paraId="14D43A5A" w14:textId="77777777" w:rsidR="007B0EF6" w:rsidRPr="008401CA" w:rsidRDefault="007B0EF6" w:rsidP="008401CA">
      <w:pPr>
        <w:pStyle w:val="NoSpacing"/>
        <w:spacing w:line="360" w:lineRule="auto"/>
        <w:jc w:val="both"/>
      </w:pPr>
      <w:r w:rsidRPr="008401CA">
        <w:t>- Year of study completion</w:t>
      </w:r>
    </w:p>
    <w:p w14:paraId="2CCF4DF0" w14:textId="77777777" w:rsidR="007B0EF6" w:rsidRPr="008401CA" w:rsidRDefault="007B0EF6" w:rsidP="008401CA">
      <w:pPr>
        <w:pStyle w:val="NoSpacing"/>
        <w:spacing w:line="360" w:lineRule="auto"/>
        <w:jc w:val="both"/>
      </w:pPr>
    </w:p>
    <w:p w14:paraId="27EDAF5B" w14:textId="77777777" w:rsidR="007B0EF6" w:rsidRPr="008401CA" w:rsidRDefault="007B0EF6" w:rsidP="008401CA">
      <w:pPr>
        <w:pStyle w:val="NoSpacing"/>
        <w:spacing w:line="360" w:lineRule="auto"/>
        <w:jc w:val="both"/>
      </w:pPr>
      <w:r w:rsidRPr="008401CA">
        <w:t>2. Study characteristics</w:t>
      </w:r>
    </w:p>
    <w:p w14:paraId="646CEE41" w14:textId="77777777" w:rsidR="007B0EF6" w:rsidRPr="008401CA" w:rsidRDefault="007B0EF6" w:rsidP="008401CA">
      <w:pPr>
        <w:pStyle w:val="NoSpacing"/>
        <w:spacing w:line="360" w:lineRule="auto"/>
        <w:jc w:val="both"/>
      </w:pPr>
      <w:r w:rsidRPr="008401CA">
        <w:t>- Geographical location of centres</w:t>
      </w:r>
    </w:p>
    <w:p w14:paraId="41FD164B" w14:textId="61A90B64" w:rsidR="007B0EF6" w:rsidRPr="008401CA" w:rsidRDefault="007B0EF6" w:rsidP="008401CA">
      <w:pPr>
        <w:pStyle w:val="NoSpacing"/>
        <w:spacing w:line="360" w:lineRule="auto"/>
        <w:jc w:val="both"/>
      </w:pPr>
      <w:r w:rsidRPr="008401CA">
        <w:t>- Type of paper and methodology of study</w:t>
      </w:r>
    </w:p>
    <w:p w14:paraId="6D31D882" w14:textId="77777777" w:rsidR="007B0EF6" w:rsidRPr="008401CA" w:rsidRDefault="007B0EF6" w:rsidP="008401CA">
      <w:pPr>
        <w:pStyle w:val="NoSpacing"/>
        <w:spacing w:line="360" w:lineRule="auto"/>
        <w:jc w:val="both"/>
      </w:pPr>
    </w:p>
    <w:p w14:paraId="0E0BE4EA" w14:textId="3D0D1B64" w:rsidR="00142AB4" w:rsidRPr="008401CA" w:rsidRDefault="00BF19F9" w:rsidP="008401CA">
      <w:pPr>
        <w:pStyle w:val="NoSpacing"/>
        <w:spacing w:line="360" w:lineRule="auto"/>
        <w:jc w:val="both"/>
      </w:pPr>
      <w:r w:rsidRPr="008401CA">
        <w:t xml:space="preserve">We will create a </w:t>
      </w:r>
      <w:r w:rsidR="00142AB4" w:rsidRPr="008401CA">
        <w:t>drop down table for each of the life cycle analysis</w:t>
      </w:r>
      <w:r w:rsidRPr="008401CA">
        <w:t xml:space="preserve"> which will be classified in the following domains:</w:t>
      </w:r>
    </w:p>
    <w:p w14:paraId="67B25CD2" w14:textId="77777777" w:rsidR="00BF19F9" w:rsidRPr="008401CA" w:rsidRDefault="00BF19F9" w:rsidP="008401CA">
      <w:pPr>
        <w:pStyle w:val="NoSpacing"/>
        <w:spacing w:line="360" w:lineRule="auto"/>
        <w:jc w:val="both"/>
      </w:pPr>
    </w:p>
    <w:p w14:paraId="671E7CFA" w14:textId="3EC65C48" w:rsidR="00142AB4" w:rsidRPr="008401CA" w:rsidRDefault="00142AB4" w:rsidP="008401CA">
      <w:pPr>
        <w:pStyle w:val="NoSpacing"/>
        <w:numPr>
          <w:ilvl w:val="0"/>
          <w:numId w:val="3"/>
        </w:numPr>
        <w:spacing w:line="360" w:lineRule="auto"/>
        <w:jc w:val="both"/>
      </w:pPr>
      <w:r w:rsidRPr="008401CA">
        <w:t>Raw materials: where do they come from, how are they sourced. </w:t>
      </w:r>
    </w:p>
    <w:p w14:paraId="17AD66B4" w14:textId="625F64C3" w:rsidR="00142AB4" w:rsidRPr="008401CA" w:rsidRDefault="00142AB4" w:rsidP="008401CA">
      <w:pPr>
        <w:pStyle w:val="NoSpacing"/>
        <w:numPr>
          <w:ilvl w:val="0"/>
          <w:numId w:val="3"/>
        </w:numPr>
        <w:spacing w:line="360" w:lineRule="auto"/>
        <w:jc w:val="both"/>
      </w:pPr>
      <w:r w:rsidRPr="008401CA">
        <w:t>The manufacturing process of the agent: to include but not be limited by - energy used, solvents used, isolation/purification procedure what happens to the waste of manufacture</w:t>
      </w:r>
    </w:p>
    <w:p w14:paraId="7249BFBC" w14:textId="0437B8A7" w:rsidR="00142AB4" w:rsidRPr="008401CA" w:rsidRDefault="00142AB4" w:rsidP="008401CA">
      <w:pPr>
        <w:pStyle w:val="NoSpacing"/>
        <w:numPr>
          <w:ilvl w:val="0"/>
          <w:numId w:val="3"/>
        </w:numPr>
        <w:spacing w:line="360" w:lineRule="auto"/>
        <w:jc w:val="both"/>
      </w:pPr>
      <w:r w:rsidRPr="008401CA">
        <w:t>Packaging  - making the packaging (glass ampules/metal cannisters/boxes/plastic)</w:t>
      </w:r>
    </w:p>
    <w:p w14:paraId="124D7FEB" w14:textId="3DE0BBED" w:rsidR="00142AB4" w:rsidRPr="008401CA" w:rsidRDefault="00142AB4" w:rsidP="008401CA">
      <w:pPr>
        <w:pStyle w:val="NoSpacing"/>
        <w:numPr>
          <w:ilvl w:val="0"/>
          <w:numId w:val="3"/>
        </w:numPr>
        <w:spacing w:line="360" w:lineRule="auto"/>
        <w:jc w:val="both"/>
      </w:pPr>
      <w:r w:rsidRPr="008401CA">
        <w:t>Distribution, transport and delivery of drug product</w:t>
      </w:r>
    </w:p>
    <w:p w14:paraId="42310E26" w14:textId="29353437" w:rsidR="00142AB4" w:rsidRPr="008401CA" w:rsidRDefault="00142AB4" w:rsidP="008401CA">
      <w:pPr>
        <w:pStyle w:val="NoSpacing"/>
        <w:numPr>
          <w:ilvl w:val="0"/>
          <w:numId w:val="3"/>
        </w:numPr>
        <w:spacing w:line="360" w:lineRule="auto"/>
        <w:jc w:val="both"/>
      </w:pPr>
      <w:r w:rsidRPr="008401CA">
        <w:t>Disposal (methods of) of waste packaging, including needles, syringes,</w:t>
      </w:r>
    </w:p>
    <w:p w14:paraId="6EF88EFC" w14:textId="0E3C4206" w:rsidR="00142AB4" w:rsidRPr="008401CA" w:rsidRDefault="00142AB4" w:rsidP="008401CA">
      <w:pPr>
        <w:pStyle w:val="NoSpacing"/>
        <w:numPr>
          <w:ilvl w:val="0"/>
          <w:numId w:val="3"/>
        </w:numPr>
        <w:spacing w:line="360" w:lineRule="auto"/>
        <w:jc w:val="both"/>
      </w:pPr>
      <w:r w:rsidRPr="008401CA">
        <w:t>Disposal of expired drug</w:t>
      </w:r>
    </w:p>
    <w:p w14:paraId="3D4E986B" w14:textId="1357E469" w:rsidR="00142AB4" w:rsidRPr="008401CA" w:rsidRDefault="00142AB4" w:rsidP="008401CA">
      <w:pPr>
        <w:pStyle w:val="NoSpacing"/>
        <w:numPr>
          <w:ilvl w:val="0"/>
          <w:numId w:val="3"/>
        </w:numPr>
        <w:spacing w:line="360" w:lineRule="auto"/>
        <w:jc w:val="both"/>
      </w:pPr>
      <w:r w:rsidRPr="008401CA">
        <w:t xml:space="preserve">Excretion of drug and metabolites from the patient - water waste treatment/scavenging </w:t>
      </w:r>
    </w:p>
    <w:p w14:paraId="2A28EDE9" w14:textId="77777777" w:rsidR="007B0EF6" w:rsidRPr="008401CA" w:rsidRDefault="007B0EF6" w:rsidP="008401CA">
      <w:pPr>
        <w:pStyle w:val="NoSpacing"/>
        <w:spacing w:line="360" w:lineRule="auto"/>
        <w:jc w:val="both"/>
      </w:pPr>
    </w:p>
    <w:p w14:paraId="11D80D5E" w14:textId="6D633884" w:rsidR="00BF19F9" w:rsidRPr="008401CA" w:rsidRDefault="007B0EF6" w:rsidP="008401CA">
      <w:pPr>
        <w:pStyle w:val="NoSpacing"/>
        <w:spacing w:line="360" w:lineRule="auto"/>
        <w:jc w:val="both"/>
      </w:pPr>
      <w:r w:rsidRPr="008401CA">
        <w:t>If we identify drugs with sufficient information available to describe a full cradle-grave life-cycle analysis, then we will perform this. This will include information about the raw materials required to produce the drug or packaging, how it may be disposed of, the transportation and storage of a product and how it is disposed of into the ecosystem. If this is the case, then the protocol will be updated to include a statistical analysis plan of how these data will be synthesised. We anticipate this will be an iterative process.</w:t>
      </w:r>
    </w:p>
    <w:p w14:paraId="127C1EBC" w14:textId="77777777" w:rsidR="007B0EF6" w:rsidRPr="008401CA" w:rsidRDefault="007B0EF6" w:rsidP="008401CA">
      <w:pPr>
        <w:pStyle w:val="NoSpacing"/>
        <w:spacing w:line="360" w:lineRule="auto"/>
        <w:jc w:val="both"/>
      </w:pPr>
    </w:p>
    <w:p w14:paraId="0B3A0343" w14:textId="5D51452F" w:rsidR="00142AB4" w:rsidRPr="008401CA" w:rsidRDefault="00AD3FFB" w:rsidP="008401CA">
      <w:pPr>
        <w:pStyle w:val="NoSpacing"/>
        <w:spacing w:line="360" w:lineRule="auto"/>
        <w:jc w:val="both"/>
      </w:pPr>
      <w:r w:rsidRPr="008401CA">
        <w:t xml:space="preserve">Data extraction </w:t>
      </w:r>
      <w:r w:rsidR="00142AB4" w:rsidRPr="008401CA">
        <w:t xml:space="preserve">will take place with piloted, standardised, web based data extraction form. (GoogleForm, Google, Alphabet Inc), which will automatically populate a spread sheet (GoogleSheet, Google, Alphabet Inc). Data extraction and inclusion steps will be performed </w:t>
      </w:r>
      <w:r w:rsidRPr="008401CA">
        <w:t>in duplicate.</w:t>
      </w:r>
      <w:r w:rsidRPr="008401CA" w:rsidDel="00AD3FFB">
        <w:t xml:space="preserve"> </w:t>
      </w:r>
    </w:p>
    <w:p w14:paraId="5A2EFD87" w14:textId="472D34BC" w:rsidR="00BF2F0B" w:rsidRPr="008401CA" w:rsidRDefault="00BF2F0B" w:rsidP="008401CA">
      <w:pPr>
        <w:pStyle w:val="NoSpacing"/>
        <w:spacing w:line="360" w:lineRule="auto"/>
        <w:jc w:val="both"/>
      </w:pPr>
    </w:p>
    <w:p w14:paraId="5C1DEBB4" w14:textId="77777777" w:rsidR="00142AB4" w:rsidRPr="008401CA" w:rsidRDefault="00142AB4" w:rsidP="008401CA">
      <w:pPr>
        <w:pStyle w:val="NoSpacing"/>
        <w:spacing w:line="360" w:lineRule="auto"/>
        <w:jc w:val="both"/>
        <w:rPr>
          <w:sz w:val="24"/>
          <w:szCs w:val="24"/>
        </w:rPr>
      </w:pPr>
      <w:r w:rsidRPr="008401CA">
        <w:rPr>
          <w:sz w:val="24"/>
          <w:szCs w:val="24"/>
        </w:rPr>
        <w:t>Risk of bias (quality) assessment</w:t>
      </w:r>
    </w:p>
    <w:p w14:paraId="4B4D1488" w14:textId="6904C88C" w:rsidR="00BF2F0B" w:rsidRPr="008401CA" w:rsidRDefault="00142AB4" w:rsidP="008401CA">
      <w:pPr>
        <w:pStyle w:val="NoSpacing"/>
        <w:spacing w:line="360" w:lineRule="auto"/>
        <w:jc w:val="both"/>
      </w:pPr>
      <w:r w:rsidRPr="008401CA">
        <w:t xml:space="preserve">We will include papers in all languages and arrange for translation as required. Risk of bias in included studies will be determined using </w:t>
      </w:r>
      <w:r w:rsidR="00447CE2" w:rsidRPr="008401CA">
        <w:t>tools appropriate for the study design. T</w:t>
      </w:r>
      <w:r w:rsidRPr="008401CA">
        <w:t>he Cochrane Risk of Bias Tool</w:t>
      </w:r>
      <w:r w:rsidR="00447CE2" w:rsidRPr="008401CA">
        <w:t xml:space="preserve">, version 2 (ROBT2) will be used for Randomised Trials, the Newcastle Ottawa scale will be used for observational studies. Where other designs are identified we will use tools as recommended within the </w:t>
      </w:r>
      <w:hyperlink r:id="rId11" w:history="1">
        <w:r w:rsidR="00447CE2" w:rsidRPr="008401CA">
          <w:rPr>
            <w:rStyle w:val="Hyperlink"/>
          </w:rPr>
          <w:t>Cochrane Handbook</w:t>
        </w:r>
      </w:hyperlink>
      <w:r w:rsidR="00447CE2" w:rsidRPr="008401CA">
        <w:t xml:space="preserve"> </w:t>
      </w:r>
      <w:r w:rsidRPr="008401CA">
        <w:t xml:space="preserve">We will not exclude studies at high risk of bias, and will present standardised risk of bias tables. </w:t>
      </w:r>
    </w:p>
    <w:p w14:paraId="45925E4A" w14:textId="77777777" w:rsidR="00A3252B" w:rsidRPr="008401CA" w:rsidRDefault="00A3252B">
      <w:pPr>
        <w:rPr>
          <w:sz w:val="24"/>
          <w:szCs w:val="24"/>
        </w:rPr>
      </w:pPr>
      <w:r w:rsidRPr="008401CA">
        <w:rPr>
          <w:sz w:val="24"/>
          <w:szCs w:val="24"/>
        </w:rPr>
        <w:br w:type="page"/>
      </w:r>
    </w:p>
    <w:p w14:paraId="6A200773" w14:textId="63942668" w:rsidR="00BF2F0B" w:rsidRPr="008401CA" w:rsidRDefault="00B20171" w:rsidP="00904BD8">
      <w:pPr>
        <w:pStyle w:val="NoSpacing"/>
        <w:spacing w:line="360" w:lineRule="auto"/>
        <w:rPr>
          <w:sz w:val="24"/>
          <w:szCs w:val="24"/>
        </w:rPr>
      </w:pPr>
      <w:r w:rsidRPr="008401CA">
        <w:rPr>
          <w:sz w:val="24"/>
          <w:szCs w:val="24"/>
        </w:rPr>
        <w:lastRenderedPageBreak/>
        <w:t>References</w:t>
      </w:r>
    </w:p>
    <w:p w14:paraId="58E87D69" w14:textId="35BF250B" w:rsidR="00BF2F0B" w:rsidRPr="008401CA" w:rsidRDefault="00BF2F0B" w:rsidP="00904BD8">
      <w:pPr>
        <w:pStyle w:val="NoSpacing"/>
        <w:spacing w:line="360" w:lineRule="auto"/>
      </w:pPr>
    </w:p>
    <w:p w14:paraId="772CD885" w14:textId="46D16315" w:rsidR="001D0AF8" w:rsidRPr="008401CA" w:rsidRDefault="00B20171" w:rsidP="001D0AF8">
      <w:pPr>
        <w:widowControl w:val="0"/>
        <w:autoSpaceDE w:val="0"/>
        <w:autoSpaceDN w:val="0"/>
        <w:adjustRightInd w:val="0"/>
        <w:spacing w:line="360" w:lineRule="auto"/>
        <w:rPr>
          <w:rFonts w:ascii="Calibri" w:hAnsi="Calibri" w:cs="Calibri"/>
          <w:noProof/>
          <w:lang w:val="en-US"/>
        </w:rPr>
      </w:pPr>
      <w:r w:rsidRPr="008401CA">
        <w:fldChar w:fldCharType="begin" w:fldLock="1"/>
      </w:r>
      <w:r w:rsidRPr="008401CA">
        <w:instrText xml:space="preserve">ADDIN Mendeley Bibliography CSL_BIBLIOGRAPHY </w:instrText>
      </w:r>
      <w:r w:rsidRPr="008401CA">
        <w:fldChar w:fldCharType="separate"/>
      </w:r>
      <w:r w:rsidR="001D0AF8" w:rsidRPr="008401CA">
        <w:rPr>
          <w:rFonts w:ascii="Calibri" w:hAnsi="Calibri" w:cs="Calibri"/>
          <w:noProof/>
          <w:lang w:val="en-US"/>
        </w:rPr>
        <w:t xml:space="preserve">1. Santer BD, Taylor KE, Wigley TML et al. A search for human influences on the thermal structure of the atmosphere. </w:t>
      </w:r>
      <w:r w:rsidR="001D0AF8" w:rsidRPr="008401CA">
        <w:rPr>
          <w:rFonts w:ascii="Calibri" w:hAnsi="Calibri" w:cs="Calibri"/>
          <w:iCs/>
          <w:noProof/>
          <w:lang w:val="en-US"/>
        </w:rPr>
        <w:t>Nature</w:t>
      </w:r>
      <w:r w:rsidR="001D0AF8" w:rsidRPr="008401CA">
        <w:rPr>
          <w:rFonts w:ascii="Calibri" w:hAnsi="Calibri" w:cs="Calibri"/>
          <w:noProof/>
          <w:lang w:val="en-US"/>
        </w:rPr>
        <w:t xml:space="preserve"> 1996; </w:t>
      </w:r>
      <w:r w:rsidR="001D0AF8" w:rsidRPr="008401CA">
        <w:rPr>
          <w:rFonts w:ascii="Calibri" w:hAnsi="Calibri" w:cs="Calibri"/>
          <w:b/>
          <w:bCs/>
          <w:noProof/>
          <w:lang w:val="en-US"/>
        </w:rPr>
        <w:t>382</w:t>
      </w:r>
      <w:r w:rsidR="001D0AF8" w:rsidRPr="008401CA">
        <w:rPr>
          <w:rFonts w:ascii="Calibri" w:hAnsi="Calibri" w:cs="Calibri"/>
          <w:noProof/>
          <w:lang w:val="en-US"/>
        </w:rPr>
        <w:t>: 39–46.</w:t>
      </w:r>
    </w:p>
    <w:p w14:paraId="0E7B4FE5"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 xml:space="preserve">2. Kuramochi T, Hohne N, Schaeffer M et al. Ten key short-term sectoral benchmarks to limit warming to 1.5 degrees C. </w:t>
      </w:r>
      <w:r w:rsidRPr="008401CA">
        <w:rPr>
          <w:rFonts w:ascii="Calibri" w:hAnsi="Calibri" w:cs="Calibri"/>
          <w:iCs/>
          <w:noProof/>
          <w:lang w:val="en-US"/>
        </w:rPr>
        <w:t>Climate Policy</w:t>
      </w:r>
      <w:r w:rsidRPr="008401CA">
        <w:rPr>
          <w:rFonts w:ascii="Calibri" w:hAnsi="Calibri" w:cs="Calibri"/>
          <w:noProof/>
          <w:lang w:val="en-US"/>
        </w:rPr>
        <w:t xml:space="preserve"> 2018; </w:t>
      </w:r>
      <w:r w:rsidRPr="008401CA">
        <w:rPr>
          <w:rFonts w:ascii="Calibri" w:hAnsi="Calibri" w:cs="Calibri"/>
          <w:b/>
          <w:bCs/>
          <w:noProof/>
          <w:lang w:val="en-US"/>
        </w:rPr>
        <w:t>18</w:t>
      </w:r>
      <w:r w:rsidRPr="008401CA">
        <w:rPr>
          <w:rFonts w:ascii="Calibri" w:hAnsi="Calibri" w:cs="Calibri"/>
          <w:noProof/>
          <w:lang w:val="en-US"/>
        </w:rPr>
        <w:t>: 287–305.</w:t>
      </w:r>
    </w:p>
    <w:p w14:paraId="2BB4B51F"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 xml:space="preserve">3. UNFCCC. What is the Kyoto Protocol? </w:t>
      </w:r>
      <w:r w:rsidRPr="008401CA">
        <w:rPr>
          <w:rFonts w:ascii="Calibri" w:hAnsi="Calibri" w:cs="Calibri"/>
          <w:iCs/>
          <w:noProof/>
          <w:lang w:val="en-US"/>
        </w:rPr>
        <w:t>United Nations Climate Change</w:t>
      </w:r>
      <w:r w:rsidRPr="008401CA">
        <w:rPr>
          <w:rFonts w:ascii="Calibri" w:hAnsi="Calibri" w:cs="Calibri"/>
          <w:noProof/>
          <w:lang w:val="en-US"/>
        </w:rPr>
        <w:t xml:space="preserve">, 2019. </w:t>
      </w:r>
    </w:p>
    <w:p w14:paraId="4E953130"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 xml:space="preserve">4. Velders GJM, Andersen SO, Daniel JS, Fahey DW, McFarland M. The importance of the Montreal Protocol in protecting climate. </w:t>
      </w:r>
      <w:r w:rsidRPr="008401CA">
        <w:rPr>
          <w:rFonts w:ascii="Calibri" w:hAnsi="Calibri" w:cs="Calibri"/>
          <w:iCs/>
          <w:noProof/>
          <w:lang w:val="en-US"/>
        </w:rPr>
        <w:t>Proceedings of the National Academy of Sciences of the United States of America</w:t>
      </w:r>
      <w:r w:rsidRPr="008401CA">
        <w:rPr>
          <w:rFonts w:ascii="Calibri" w:hAnsi="Calibri" w:cs="Calibri"/>
          <w:noProof/>
          <w:lang w:val="en-US"/>
        </w:rPr>
        <w:t>2007; doi 10.1073/pnas.0610328104.</w:t>
      </w:r>
    </w:p>
    <w:p w14:paraId="4C8CF0DA"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 xml:space="preserve">5. Vollmer MK, Rhee TS, Rigby M et al. Modern inhalation anesthetics: Potent greenhouse gases in the global atmosphere. </w:t>
      </w:r>
      <w:r w:rsidRPr="008401CA">
        <w:rPr>
          <w:rFonts w:ascii="Calibri" w:hAnsi="Calibri" w:cs="Calibri"/>
          <w:iCs/>
          <w:noProof/>
          <w:lang w:val="en-US"/>
        </w:rPr>
        <w:t>Geophysical Research Letters</w:t>
      </w:r>
      <w:r w:rsidRPr="008401CA">
        <w:rPr>
          <w:rFonts w:ascii="Calibri" w:hAnsi="Calibri" w:cs="Calibri"/>
          <w:noProof/>
          <w:lang w:val="en-US"/>
        </w:rPr>
        <w:t xml:space="preserve"> 2015; </w:t>
      </w:r>
      <w:r w:rsidRPr="008401CA">
        <w:rPr>
          <w:rFonts w:ascii="Calibri" w:hAnsi="Calibri" w:cs="Calibri"/>
          <w:b/>
          <w:bCs/>
          <w:noProof/>
          <w:lang w:val="en-US"/>
        </w:rPr>
        <w:t>42</w:t>
      </w:r>
      <w:r w:rsidRPr="008401CA">
        <w:rPr>
          <w:rFonts w:ascii="Calibri" w:hAnsi="Calibri" w:cs="Calibri"/>
          <w:noProof/>
          <w:lang w:val="en-US"/>
        </w:rPr>
        <w:t>: 1606–11.</w:t>
      </w:r>
    </w:p>
    <w:p w14:paraId="5600C30B"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 xml:space="preserve">6. Weiser TG, Haynes AB, Molina G et al. Estimate of the global volume of surgery in 2012: an assessment supporting improved health outcomes. </w:t>
      </w:r>
      <w:r w:rsidRPr="008401CA">
        <w:rPr>
          <w:rFonts w:ascii="Calibri" w:hAnsi="Calibri" w:cs="Calibri"/>
          <w:iCs/>
          <w:noProof/>
          <w:lang w:val="en-US"/>
        </w:rPr>
        <w:t>Lancet</w:t>
      </w:r>
      <w:r w:rsidRPr="008401CA">
        <w:rPr>
          <w:rFonts w:ascii="Calibri" w:hAnsi="Calibri" w:cs="Calibri"/>
          <w:noProof/>
          <w:lang w:val="en-US"/>
        </w:rPr>
        <w:t xml:space="preserve"> 2015; </w:t>
      </w:r>
      <w:r w:rsidRPr="008401CA">
        <w:rPr>
          <w:rFonts w:ascii="Calibri" w:hAnsi="Calibri" w:cs="Calibri"/>
          <w:b/>
          <w:bCs/>
          <w:noProof/>
          <w:lang w:val="en-US"/>
        </w:rPr>
        <w:t>385 Suppl</w:t>
      </w:r>
      <w:r w:rsidRPr="008401CA">
        <w:rPr>
          <w:rFonts w:ascii="Calibri" w:hAnsi="Calibri" w:cs="Calibri"/>
          <w:noProof/>
          <w:lang w:val="en-US"/>
        </w:rPr>
        <w:t>: S11.</w:t>
      </w:r>
    </w:p>
    <w:p w14:paraId="764773C1"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 xml:space="preserve">7. MacNeill AJ, Lillywhite R, Brown CJ. The impact of surgery on global climate: a carbon footprinting study of operating theatres in three health systems. </w:t>
      </w:r>
      <w:r w:rsidRPr="008401CA">
        <w:rPr>
          <w:rFonts w:ascii="Calibri" w:hAnsi="Calibri" w:cs="Calibri"/>
          <w:iCs/>
          <w:noProof/>
          <w:lang w:val="en-US"/>
        </w:rPr>
        <w:t>The Lancet. Planetary health</w:t>
      </w:r>
      <w:r w:rsidRPr="008401CA">
        <w:rPr>
          <w:rFonts w:ascii="Calibri" w:hAnsi="Calibri" w:cs="Calibri"/>
          <w:noProof/>
          <w:lang w:val="en-US"/>
        </w:rPr>
        <w:t xml:space="preserve"> 2017; </w:t>
      </w:r>
      <w:r w:rsidRPr="008401CA">
        <w:rPr>
          <w:rFonts w:ascii="Calibri" w:hAnsi="Calibri" w:cs="Calibri"/>
          <w:b/>
          <w:bCs/>
          <w:noProof/>
          <w:lang w:val="en-US"/>
        </w:rPr>
        <w:t>1</w:t>
      </w:r>
      <w:r w:rsidRPr="008401CA">
        <w:rPr>
          <w:rFonts w:ascii="Calibri" w:hAnsi="Calibri" w:cs="Calibri"/>
          <w:noProof/>
          <w:lang w:val="en-US"/>
        </w:rPr>
        <w:t>: e381.</w:t>
      </w:r>
    </w:p>
    <w:p w14:paraId="2E30AF7F"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 xml:space="preserve">8. Emara Y, Siegert M-W, Lehmann A, Finkbeiner M. Life Cycle Management in the Pharmaceutical Industry Using an Applicable and Robust LCA-Based Environmental Sustainability Assessment Approach. In: Benetto E, Gericke K, Guiton M, eds. </w:t>
      </w:r>
      <w:r w:rsidRPr="008401CA">
        <w:rPr>
          <w:rFonts w:ascii="Calibri" w:hAnsi="Calibri" w:cs="Calibri"/>
          <w:iCs/>
          <w:noProof/>
          <w:lang w:val="en-US"/>
        </w:rPr>
        <w:t>Designing Sustainable Technologies, Products and Policies: From Science to Innovation</w:t>
      </w:r>
      <w:r w:rsidRPr="008401CA">
        <w:rPr>
          <w:rFonts w:ascii="Calibri" w:hAnsi="Calibri" w:cs="Calibri"/>
          <w:noProof/>
          <w:lang w:val="en-US"/>
        </w:rPr>
        <w:t>. Cham: Springer International Publishing, 2018: 79–88.</w:t>
      </w:r>
    </w:p>
    <w:p w14:paraId="1CC962B2"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 xml:space="preserve">9. Environmental Strategy Statement, Association of Anaesthetists. </w:t>
      </w:r>
      <w:r w:rsidRPr="008401CA">
        <w:rPr>
          <w:rFonts w:ascii="Calibri" w:hAnsi="Calibri" w:cs="Calibri"/>
          <w:iCs/>
          <w:noProof/>
          <w:lang w:val="en-US"/>
        </w:rPr>
        <w:t>Association of Anaesthetists</w:t>
      </w:r>
      <w:r w:rsidRPr="008401CA">
        <w:rPr>
          <w:rFonts w:ascii="Calibri" w:hAnsi="Calibri" w:cs="Calibri"/>
          <w:noProof/>
          <w:lang w:val="en-US"/>
        </w:rPr>
        <w:t>, 2019. https://anaesthetists.org/Home/Resources-publications/Environment/Our-environmental-work/Why-it-matters-facts-figures.</w:t>
      </w:r>
    </w:p>
    <w:p w14:paraId="74DC0C0B" w14:textId="77777777" w:rsidR="001D0AF8" w:rsidRPr="008401CA" w:rsidRDefault="001D0AF8" w:rsidP="001D0AF8">
      <w:pPr>
        <w:widowControl w:val="0"/>
        <w:autoSpaceDE w:val="0"/>
        <w:autoSpaceDN w:val="0"/>
        <w:adjustRightInd w:val="0"/>
        <w:spacing w:line="360" w:lineRule="auto"/>
        <w:rPr>
          <w:rFonts w:ascii="Calibri" w:hAnsi="Calibri" w:cs="Calibri"/>
          <w:noProof/>
          <w:lang w:val="en-US"/>
        </w:rPr>
      </w:pPr>
      <w:r w:rsidRPr="008401CA">
        <w:rPr>
          <w:rFonts w:ascii="Calibri" w:hAnsi="Calibri" w:cs="Calibri"/>
          <w:noProof/>
          <w:lang w:val="en-US"/>
        </w:rPr>
        <w:t>10. WHO Model list of essential medicines, 21st List.https://apps.who.int/iris/bitstream/handle/10665/325771/WHO-MVP-EMP-IAU-2019.06-eng.pdf?ua=1.</w:t>
      </w:r>
    </w:p>
    <w:p w14:paraId="38C709D8" w14:textId="77777777" w:rsidR="001D0AF8" w:rsidRPr="008401CA" w:rsidRDefault="001D0AF8" w:rsidP="001D0AF8">
      <w:pPr>
        <w:widowControl w:val="0"/>
        <w:autoSpaceDE w:val="0"/>
        <w:autoSpaceDN w:val="0"/>
        <w:adjustRightInd w:val="0"/>
        <w:spacing w:line="360" w:lineRule="auto"/>
        <w:rPr>
          <w:rFonts w:ascii="Calibri" w:hAnsi="Calibri" w:cs="Calibri"/>
          <w:noProof/>
        </w:rPr>
      </w:pPr>
      <w:r w:rsidRPr="008401CA">
        <w:rPr>
          <w:rFonts w:ascii="Calibri" w:hAnsi="Calibri" w:cs="Calibri"/>
          <w:noProof/>
          <w:lang w:val="en-US"/>
        </w:rPr>
        <w:t xml:space="preserve">11. Greally, BR., Simmonds, PG., O’Doherty, SJ., Nickless, G., McCulloch, A., Reimann, S., Schmidbauer, N., Maione, M., Ryall, DB., Derwent, RG., &amp; Manning A. Observations of halogenated greenhouse gases and estimation of European source strengths. In: VanHam, APM. Baede, R. Guicherit &amp; JW, ed. </w:t>
      </w:r>
      <w:r w:rsidRPr="008401CA">
        <w:rPr>
          <w:rFonts w:ascii="Calibri" w:hAnsi="Calibri" w:cs="Calibri"/>
          <w:iCs/>
          <w:noProof/>
          <w:lang w:val="en-US"/>
        </w:rPr>
        <w:t>NON-C02 GREENHOUSE GASES: SCIENTIFIC UNDERSTANDING, CONTROL OPTIONS AND POLICY ASPECTS</w:t>
      </w:r>
      <w:r w:rsidRPr="008401CA">
        <w:rPr>
          <w:rFonts w:ascii="Calibri" w:hAnsi="Calibri" w:cs="Calibri"/>
          <w:noProof/>
          <w:lang w:val="en-US"/>
        </w:rPr>
        <w:t>. Millpress Science Publishers, 2002: 553–7.</w:t>
      </w:r>
    </w:p>
    <w:p w14:paraId="00FCE839" w14:textId="4C04C769" w:rsidR="00BF2F0B" w:rsidRPr="008401CA" w:rsidRDefault="00B20171" w:rsidP="001D0AF8">
      <w:pPr>
        <w:widowControl w:val="0"/>
        <w:autoSpaceDE w:val="0"/>
        <w:autoSpaceDN w:val="0"/>
        <w:adjustRightInd w:val="0"/>
        <w:spacing w:line="360" w:lineRule="auto"/>
      </w:pPr>
      <w:r w:rsidRPr="008401CA">
        <w:fldChar w:fldCharType="end"/>
      </w:r>
    </w:p>
    <w:sectPr w:rsidR="00BF2F0B" w:rsidRPr="008401CA" w:rsidSect="007A6FF0">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C397" w16cex:dateUtc="2020-08-26T10:18:00Z"/>
  <w16cex:commentExtensible w16cex:durableId="22F0C3A8" w16cex:dateUtc="2020-08-26T1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994D" w14:textId="77777777" w:rsidR="00EE74E4" w:rsidRDefault="00EE74E4" w:rsidP="000212F4">
      <w:r>
        <w:separator/>
      </w:r>
    </w:p>
  </w:endnote>
  <w:endnote w:type="continuationSeparator" w:id="0">
    <w:p w14:paraId="395860EE" w14:textId="77777777" w:rsidR="00EE74E4" w:rsidRDefault="00EE74E4" w:rsidP="0002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17D4" w14:textId="77777777" w:rsidR="00EE74E4" w:rsidRDefault="00EE74E4" w:rsidP="000212F4">
      <w:r>
        <w:separator/>
      </w:r>
    </w:p>
  </w:footnote>
  <w:footnote w:type="continuationSeparator" w:id="0">
    <w:p w14:paraId="7E90D2AF" w14:textId="77777777" w:rsidR="00EE74E4" w:rsidRDefault="00EE74E4" w:rsidP="0002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94D"/>
    <w:multiLevelType w:val="hybridMultilevel"/>
    <w:tmpl w:val="44200B3A"/>
    <w:lvl w:ilvl="0" w:tplc="AA1091D6">
      <w:start w:val="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4025C"/>
    <w:multiLevelType w:val="hybridMultilevel"/>
    <w:tmpl w:val="D5A8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E515A"/>
    <w:multiLevelType w:val="hybridMultilevel"/>
    <w:tmpl w:val="C830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A7"/>
    <w:rsid w:val="00001605"/>
    <w:rsid w:val="000212F4"/>
    <w:rsid w:val="00045CD3"/>
    <w:rsid w:val="00061CCD"/>
    <w:rsid w:val="000A14D5"/>
    <w:rsid w:val="000A5C87"/>
    <w:rsid w:val="000E67EC"/>
    <w:rsid w:val="001264CD"/>
    <w:rsid w:val="001274A7"/>
    <w:rsid w:val="00137323"/>
    <w:rsid w:val="00142AB4"/>
    <w:rsid w:val="0015289A"/>
    <w:rsid w:val="001D0AF8"/>
    <w:rsid w:val="001D7A4B"/>
    <w:rsid w:val="002B2957"/>
    <w:rsid w:val="002F21DC"/>
    <w:rsid w:val="00305692"/>
    <w:rsid w:val="00306CE9"/>
    <w:rsid w:val="003155EC"/>
    <w:rsid w:val="00380788"/>
    <w:rsid w:val="00390B02"/>
    <w:rsid w:val="003B1261"/>
    <w:rsid w:val="003B201E"/>
    <w:rsid w:val="003C082C"/>
    <w:rsid w:val="0042009E"/>
    <w:rsid w:val="00447CE2"/>
    <w:rsid w:val="00452BD7"/>
    <w:rsid w:val="00523EBB"/>
    <w:rsid w:val="00544686"/>
    <w:rsid w:val="00566314"/>
    <w:rsid w:val="005B7D7B"/>
    <w:rsid w:val="006636CF"/>
    <w:rsid w:val="007051B5"/>
    <w:rsid w:val="00785050"/>
    <w:rsid w:val="007A6FF0"/>
    <w:rsid w:val="007B0EF6"/>
    <w:rsid w:val="008401CA"/>
    <w:rsid w:val="008623C4"/>
    <w:rsid w:val="008907FB"/>
    <w:rsid w:val="008D27CB"/>
    <w:rsid w:val="008E4BA5"/>
    <w:rsid w:val="008F5B01"/>
    <w:rsid w:val="00904BD8"/>
    <w:rsid w:val="00906477"/>
    <w:rsid w:val="009620E0"/>
    <w:rsid w:val="009D2B3C"/>
    <w:rsid w:val="009E60FF"/>
    <w:rsid w:val="00A27F52"/>
    <w:rsid w:val="00A3252B"/>
    <w:rsid w:val="00A82967"/>
    <w:rsid w:val="00A84D83"/>
    <w:rsid w:val="00A9687B"/>
    <w:rsid w:val="00AD3FFB"/>
    <w:rsid w:val="00B1363D"/>
    <w:rsid w:val="00B13A02"/>
    <w:rsid w:val="00B20171"/>
    <w:rsid w:val="00B87C82"/>
    <w:rsid w:val="00B96DE3"/>
    <w:rsid w:val="00BB6396"/>
    <w:rsid w:val="00BE7E0E"/>
    <w:rsid w:val="00BF19F9"/>
    <w:rsid w:val="00BF2F0B"/>
    <w:rsid w:val="00C63E0A"/>
    <w:rsid w:val="00CC0E90"/>
    <w:rsid w:val="00D64AFA"/>
    <w:rsid w:val="00E1003F"/>
    <w:rsid w:val="00E3227B"/>
    <w:rsid w:val="00ED489B"/>
    <w:rsid w:val="00EE46E4"/>
    <w:rsid w:val="00EE74E4"/>
    <w:rsid w:val="00EF1779"/>
    <w:rsid w:val="00F1343B"/>
    <w:rsid w:val="00F20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4E784"/>
  <w15:docId w15:val="{38EE15A2-2711-DB4B-9FA7-8488EDCD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AB4"/>
    <w:rPr>
      <w:sz w:val="20"/>
      <w:szCs w:val="20"/>
    </w:rPr>
  </w:style>
  <w:style w:type="paragraph" w:styleId="Heading1">
    <w:name w:val="heading 1"/>
    <w:basedOn w:val="Normal"/>
    <w:next w:val="Normal"/>
    <w:link w:val="Heading1Char"/>
    <w:uiPriority w:val="9"/>
    <w:qFormat/>
    <w:rsid w:val="00142AB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42AB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142AB4"/>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42AB4"/>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42AB4"/>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42AB4"/>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42AB4"/>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42AB4"/>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42AB4"/>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AB4"/>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142AB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42AB4"/>
    <w:rPr>
      <w:caps/>
      <w:color w:val="1F3763" w:themeColor="accent1" w:themeShade="7F"/>
      <w:spacing w:val="15"/>
    </w:rPr>
  </w:style>
  <w:style w:type="character" w:customStyle="1" w:styleId="Heading4Char">
    <w:name w:val="Heading 4 Char"/>
    <w:basedOn w:val="DefaultParagraphFont"/>
    <w:link w:val="Heading4"/>
    <w:uiPriority w:val="9"/>
    <w:semiHidden/>
    <w:rsid w:val="00142AB4"/>
    <w:rPr>
      <w:caps/>
      <w:color w:val="2F5496" w:themeColor="accent1" w:themeShade="BF"/>
      <w:spacing w:val="10"/>
    </w:rPr>
  </w:style>
  <w:style w:type="character" w:customStyle="1" w:styleId="Heading5Char">
    <w:name w:val="Heading 5 Char"/>
    <w:basedOn w:val="DefaultParagraphFont"/>
    <w:link w:val="Heading5"/>
    <w:uiPriority w:val="9"/>
    <w:semiHidden/>
    <w:rsid w:val="00142AB4"/>
    <w:rPr>
      <w:caps/>
      <w:color w:val="2F5496" w:themeColor="accent1" w:themeShade="BF"/>
      <w:spacing w:val="10"/>
    </w:rPr>
  </w:style>
  <w:style w:type="character" w:customStyle="1" w:styleId="Heading6Char">
    <w:name w:val="Heading 6 Char"/>
    <w:basedOn w:val="DefaultParagraphFont"/>
    <w:link w:val="Heading6"/>
    <w:uiPriority w:val="9"/>
    <w:semiHidden/>
    <w:rsid w:val="00142AB4"/>
    <w:rPr>
      <w:caps/>
      <w:color w:val="2F5496" w:themeColor="accent1" w:themeShade="BF"/>
      <w:spacing w:val="10"/>
    </w:rPr>
  </w:style>
  <w:style w:type="character" w:customStyle="1" w:styleId="Heading7Char">
    <w:name w:val="Heading 7 Char"/>
    <w:basedOn w:val="DefaultParagraphFont"/>
    <w:link w:val="Heading7"/>
    <w:uiPriority w:val="9"/>
    <w:semiHidden/>
    <w:rsid w:val="00142AB4"/>
    <w:rPr>
      <w:caps/>
      <w:color w:val="2F5496" w:themeColor="accent1" w:themeShade="BF"/>
      <w:spacing w:val="10"/>
    </w:rPr>
  </w:style>
  <w:style w:type="character" w:customStyle="1" w:styleId="Heading8Char">
    <w:name w:val="Heading 8 Char"/>
    <w:basedOn w:val="DefaultParagraphFont"/>
    <w:link w:val="Heading8"/>
    <w:uiPriority w:val="9"/>
    <w:semiHidden/>
    <w:rsid w:val="00142AB4"/>
    <w:rPr>
      <w:caps/>
      <w:spacing w:val="10"/>
      <w:sz w:val="18"/>
      <w:szCs w:val="18"/>
    </w:rPr>
  </w:style>
  <w:style w:type="character" w:customStyle="1" w:styleId="Heading9Char">
    <w:name w:val="Heading 9 Char"/>
    <w:basedOn w:val="DefaultParagraphFont"/>
    <w:link w:val="Heading9"/>
    <w:uiPriority w:val="9"/>
    <w:semiHidden/>
    <w:rsid w:val="00142AB4"/>
    <w:rPr>
      <w:i/>
      <w:caps/>
      <w:spacing w:val="10"/>
      <w:sz w:val="18"/>
      <w:szCs w:val="18"/>
    </w:rPr>
  </w:style>
  <w:style w:type="paragraph" w:styleId="Caption">
    <w:name w:val="caption"/>
    <w:basedOn w:val="Normal"/>
    <w:next w:val="Normal"/>
    <w:uiPriority w:val="35"/>
    <w:semiHidden/>
    <w:unhideWhenUsed/>
    <w:qFormat/>
    <w:rsid w:val="00142AB4"/>
    <w:rPr>
      <w:b/>
      <w:bCs/>
      <w:color w:val="2F5496" w:themeColor="accent1" w:themeShade="BF"/>
      <w:sz w:val="16"/>
      <w:szCs w:val="16"/>
    </w:rPr>
  </w:style>
  <w:style w:type="paragraph" w:styleId="Title">
    <w:name w:val="Title"/>
    <w:basedOn w:val="Normal"/>
    <w:next w:val="Normal"/>
    <w:link w:val="TitleChar"/>
    <w:uiPriority w:val="10"/>
    <w:qFormat/>
    <w:rsid w:val="00142AB4"/>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142AB4"/>
    <w:rPr>
      <w:caps/>
      <w:color w:val="4472C4" w:themeColor="accent1"/>
      <w:spacing w:val="10"/>
      <w:kern w:val="28"/>
      <w:sz w:val="52"/>
      <w:szCs w:val="52"/>
    </w:rPr>
  </w:style>
  <w:style w:type="paragraph" w:styleId="Subtitle">
    <w:name w:val="Subtitle"/>
    <w:basedOn w:val="Normal"/>
    <w:next w:val="Normal"/>
    <w:link w:val="SubtitleChar"/>
    <w:uiPriority w:val="11"/>
    <w:qFormat/>
    <w:rsid w:val="00142AB4"/>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2AB4"/>
    <w:rPr>
      <w:caps/>
      <w:color w:val="595959" w:themeColor="text1" w:themeTint="A6"/>
      <w:spacing w:val="10"/>
      <w:sz w:val="24"/>
      <w:szCs w:val="24"/>
    </w:rPr>
  </w:style>
  <w:style w:type="character" w:styleId="Strong">
    <w:name w:val="Strong"/>
    <w:uiPriority w:val="22"/>
    <w:qFormat/>
    <w:rsid w:val="00142AB4"/>
    <w:rPr>
      <w:b/>
      <w:bCs/>
    </w:rPr>
  </w:style>
  <w:style w:type="character" w:styleId="Emphasis">
    <w:name w:val="Emphasis"/>
    <w:uiPriority w:val="20"/>
    <w:qFormat/>
    <w:rsid w:val="00142AB4"/>
    <w:rPr>
      <w:caps/>
      <w:color w:val="1F3763" w:themeColor="accent1" w:themeShade="7F"/>
      <w:spacing w:val="5"/>
    </w:rPr>
  </w:style>
  <w:style w:type="paragraph" w:styleId="NoSpacing">
    <w:name w:val="No Spacing"/>
    <w:basedOn w:val="Normal"/>
    <w:link w:val="NoSpacingChar"/>
    <w:uiPriority w:val="1"/>
    <w:qFormat/>
    <w:rsid w:val="00142AB4"/>
  </w:style>
  <w:style w:type="character" w:customStyle="1" w:styleId="NoSpacingChar">
    <w:name w:val="No Spacing Char"/>
    <w:basedOn w:val="DefaultParagraphFont"/>
    <w:link w:val="NoSpacing"/>
    <w:uiPriority w:val="1"/>
    <w:rsid w:val="00142AB4"/>
    <w:rPr>
      <w:sz w:val="20"/>
      <w:szCs w:val="20"/>
    </w:rPr>
  </w:style>
  <w:style w:type="paragraph" w:styleId="ListParagraph">
    <w:name w:val="List Paragraph"/>
    <w:basedOn w:val="Normal"/>
    <w:uiPriority w:val="34"/>
    <w:qFormat/>
    <w:rsid w:val="00142AB4"/>
    <w:pPr>
      <w:ind w:left="720"/>
      <w:contextualSpacing/>
    </w:pPr>
  </w:style>
  <w:style w:type="paragraph" w:styleId="Quote">
    <w:name w:val="Quote"/>
    <w:basedOn w:val="Normal"/>
    <w:next w:val="Normal"/>
    <w:link w:val="QuoteChar"/>
    <w:uiPriority w:val="29"/>
    <w:qFormat/>
    <w:rsid w:val="00142AB4"/>
    <w:rPr>
      <w:i/>
      <w:iCs/>
    </w:rPr>
  </w:style>
  <w:style w:type="character" w:customStyle="1" w:styleId="QuoteChar">
    <w:name w:val="Quote Char"/>
    <w:basedOn w:val="DefaultParagraphFont"/>
    <w:link w:val="Quote"/>
    <w:uiPriority w:val="29"/>
    <w:rsid w:val="00142AB4"/>
    <w:rPr>
      <w:i/>
      <w:iCs/>
      <w:sz w:val="20"/>
      <w:szCs w:val="20"/>
    </w:rPr>
  </w:style>
  <w:style w:type="paragraph" w:styleId="IntenseQuote">
    <w:name w:val="Intense Quote"/>
    <w:basedOn w:val="Normal"/>
    <w:next w:val="Normal"/>
    <w:link w:val="IntenseQuoteChar"/>
    <w:uiPriority w:val="30"/>
    <w:qFormat/>
    <w:rsid w:val="00142AB4"/>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42AB4"/>
    <w:rPr>
      <w:i/>
      <w:iCs/>
      <w:color w:val="4472C4" w:themeColor="accent1"/>
      <w:sz w:val="20"/>
      <w:szCs w:val="20"/>
    </w:rPr>
  </w:style>
  <w:style w:type="character" w:styleId="SubtleEmphasis">
    <w:name w:val="Subtle Emphasis"/>
    <w:uiPriority w:val="19"/>
    <w:qFormat/>
    <w:rsid w:val="00142AB4"/>
    <w:rPr>
      <w:i/>
      <w:iCs/>
      <w:color w:val="1F3763" w:themeColor="accent1" w:themeShade="7F"/>
    </w:rPr>
  </w:style>
  <w:style w:type="character" w:styleId="IntenseEmphasis">
    <w:name w:val="Intense Emphasis"/>
    <w:uiPriority w:val="21"/>
    <w:qFormat/>
    <w:rsid w:val="00142AB4"/>
    <w:rPr>
      <w:b/>
      <w:bCs/>
      <w:caps/>
      <w:color w:val="1F3763" w:themeColor="accent1" w:themeShade="7F"/>
      <w:spacing w:val="10"/>
    </w:rPr>
  </w:style>
  <w:style w:type="character" w:styleId="SubtleReference">
    <w:name w:val="Subtle Reference"/>
    <w:uiPriority w:val="31"/>
    <w:qFormat/>
    <w:rsid w:val="00142AB4"/>
    <w:rPr>
      <w:b/>
      <w:bCs/>
      <w:color w:val="4472C4" w:themeColor="accent1"/>
    </w:rPr>
  </w:style>
  <w:style w:type="character" w:styleId="IntenseReference">
    <w:name w:val="Intense Reference"/>
    <w:uiPriority w:val="32"/>
    <w:qFormat/>
    <w:rsid w:val="00142AB4"/>
    <w:rPr>
      <w:b/>
      <w:bCs/>
      <w:i/>
      <w:iCs/>
      <w:caps/>
      <w:color w:val="4472C4" w:themeColor="accent1"/>
    </w:rPr>
  </w:style>
  <w:style w:type="character" w:styleId="BookTitle">
    <w:name w:val="Book Title"/>
    <w:uiPriority w:val="33"/>
    <w:qFormat/>
    <w:rsid w:val="00142AB4"/>
    <w:rPr>
      <w:b/>
      <w:bCs/>
      <w:i/>
      <w:iCs/>
      <w:spacing w:val="9"/>
    </w:rPr>
  </w:style>
  <w:style w:type="paragraph" w:styleId="TOCHeading">
    <w:name w:val="TOC Heading"/>
    <w:basedOn w:val="Heading1"/>
    <w:next w:val="Normal"/>
    <w:uiPriority w:val="39"/>
    <w:semiHidden/>
    <w:unhideWhenUsed/>
    <w:qFormat/>
    <w:rsid w:val="00142AB4"/>
    <w:pPr>
      <w:outlineLvl w:val="9"/>
    </w:pPr>
  </w:style>
  <w:style w:type="character" w:styleId="CommentReference">
    <w:name w:val="annotation reference"/>
    <w:basedOn w:val="DefaultParagraphFont"/>
    <w:uiPriority w:val="99"/>
    <w:semiHidden/>
    <w:unhideWhenUsed/>
    <w:rsid w:val="00142AB4"/>
    <w:rPr>
      <w:sz w:val="16"/>
      <w:szCs w:val="16"/>
    </w:rPr>
  </w:style>
  <w:style w:type="paragraph" w:styleId="CommentText">
    <w:name w:val="annotation text"/>
    <w:basedOn w:val="Normal"/>
    <w:link w:val="CommentTextChar"/>
    <w:uiPriority w:val="99"/>
    <w:semiHidden/>
    <w:unhideWhenUsed/>
    <w:rsid w:val="00142AB4"/>
    <w:rPr>
      <w:rFonts w:eastAsiaTheme="minorHAnsi"/>
    </w:rPr>
  </w:style>
  <w:style w:type="character" w:customStyle="1" w:styleId="CommentTextChar">
    <w:name w:val="Comment Text Char"/>
    <w:basedOn w:val="DefaultParagraphFont"/>
    <w:link w:val="CommentText"/>
    <w:uiPriority w:val="99"/>
    <w:semiHidden/>
    <w:rsid w:val="00142AB4"/>
    <w:rPr>
      <w:rFonts w:eastAsiaTheme="minorHAnsi"/>
      <w:sz w:val="20"/>
      <w:szCs w:val="20"/>
    </w:rPr>
  </w:style>
  <w:style w:type="paragraph" w:styleId="BalloonText">
    <w:name w:val="Balloon Text"/>
    <w:basedOn w:val="Normal"/>
    <w:link w:val="BalloonTextChar"/>
    <w:uiPriority w:val="99"/>
    <w:semiHidden/>
    <w:unhideWhenUsed/>
    <w:rsid w:val="00142A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AB4"/>
    <w:rPr>
      <w:rFonts w:ascii="Times New Roman" w:hAnsi="Times New Roman" w:cs="Times New Roman"/>
      <w:sz w:val="18"/>
      <w:szCs w:val="18"/>
    </w:rPr>
  </w:style>
  <w:style w:type="character" w:customStyle="1" w:styleId="apple-converted-space">
    <w:name w:val="apple-converted-space"/>
    <w:basedOn w:val="DefaultParagraphFont"/>
    <w:rsid w:val="00142AB4"/>
  </w:style>
  <w:style w:type="character" w:styleId="Hyperlink">
    <w:name w:val="Hyperlink"/>
    <w:basedOn w:val="DefaultParagraphFont"/>
    <w:uiPriority w:val="99"/>
    <w:unhideWhenUsed/>
    <w:rsid w:val="00A27F52"/>
    <w:rPr>
      <w:color w:val="0563C1" w:themeColor="hyperlink"/>
      <w:u w:val="single"/>
    </w:rPr>
  </w:style>
  <w:style w:type="character" w:customStyle="1" w:styleId="UnresolvedMention1">
    <w:name w:val="Unresolved Mention1"/>
    <w:basedOn w:val="DefaultParagraphFont"/>
    <w:uiPriority w:val="99"/>
    <w:semiHidden/>
    <w:unhideWhenUsed/>
    <w:rsid w:val="00A27F5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7E0E"/>
    <w:pPr>
      <w:spacing w:before="200" w:after="200"/>
    </w:pPr>
    <w:rPr>
      <w:rFonts w:eastAsiaTheme="minorEastAsia"/>
      <w:b/>
      <w:bCs/>
    </w:rPr>
  </w:style>
  <w:style w:type="character" w:customStyle="1" w:styleId="CommentSubjectChar">
    <w:name w:val="Comment Subject Char"/>
    <w:basedOn w:val="CommentTextChar"/>
    <w:link w:val="CommentSubject"/>
    <w:uiPriority w:val="99"/>
    <w:semiHidden/>
    <w:rsid w:val="00BE7E0E"/>
    <w:rPr>
      <w:rFonts w:eastAsiaTheme="minorHAnsi"/>
      <w:b/>
      <w:bCs/>
      <w:sz w:val="20"/>
      <w:szCs w:val="20"/>
    </w:rPr>
  </w:style>
  <w:style w:type="character" w:customStyle="1" w:styleId="UnresolvedMention2">
    <w:name w:val="Unresolved Mention2"/>
    <w:basedOn w:val="DefaultParagraphFont"/>
    <w:uiPriority w:val="99"/>
    <w:semiHidden/>
    <w:unhideWhenUsed/>
    <w:rsid w:val="00061CCD"/>
    <w:rPr>
      <w:color w:val="605E5C"/>
      <w:shd w:val="clear" w:color="auto" w:fill="E1DFDD"/>
    </w:rPr>
  </w:style>
  <w:style w:type="paragraph" w:styleId="EndnoteText">
    <w:name w:val="endnote text"/>
    <w:basedOn w:val="Normal"/>
    <w:link w:val="EndnoteTextChar"/>
    <w:uiPriority w:val="99"/>
    <w:semiHidden/>
    <w:unhideWhenUsed/>
    <w:rsid w:val="000212F4"/>
  </w:style>
  <w:style w:type="character" w:customStyle="1" w:styleId="EndnoteTextChar">
    <w:name w:val="Endnote Text Char"/>
    <w:basedOn w:val="DefaultParagraphFont"/>
    <w:link w:val="EndnoteText"/>
    <w:uiPriority w:val="99"/>
    <w:semiHidden/>
    <w:rsid w:val="000212F4"/>
    <w:rPr>
      <w:sz w:val="20"/>
      <w:szCs w:val="20"/>
    </w:rPr>
  </w:style>
  <w:style w:type="character" w:styleId="EndnoteReference">
    <w:name w:val="endnote reference"/>
    <w:basedOn w:val="DefaultParagraphFont"/>
    <w:uiPriority w:val="99"/>
    <w:semiHidden/>
    <w:unhideWhenUsed/>
    <w:rsid w:val="000212F4"/>
    <w:rPr>
      <w:vertAlign w:val="superscript"/>
    </w:rPr>
  </w:style>
  <w:style w:type="paragraph" w:customStyle="1" w:styleId="EndNoteBibliography">
    <w:name w:val="EndNote Bibliography"/>
    <w:basedOn w:val="Normal"/>
    <w:link w:val="EndNoteBibliographyChar"/>
    <w:rsid w:val="000212F4"/>
    <w:pPr>
      <w:jc w:val="center"/>
    </w:pPr>
    <w:rPr>
      <w:rFonts w:ascii="Calibri" w:eastAsiaTheme="minorHAnsi" w:hAnsi="Calibri" w:cs="Calibri"/>
      <w:sz w:val="24"/>
      <w:szCs w:val="24"/>
      <w:lang w:val="en-US"/>
    </w:rPr>
  </w:style>
  <w:style w:type="character" w:customStyle="1" w:styleId="EndNoteBibliographyChar">
    <w:name w:val="EndNote Bibliography Char"/>
    <w:basedOn w:val="DefaultParagraphFont"/>
    <w:link w:val="EndNoteBibliography"/>
    <w:rsid w:val="000212F4"/>
    <w:rPr>
      <w:rFonts w:ascii="Calibri" w:eastAsiaTheme="minorHAnsi" w:hAnsi="Calibri" w:cs="Calibri"/>
      <w:sz w:val="24"/>
      <w:szCs w:val="24"/>
      <w:lang w:val="en-US"/>
    </w:rPr>
  </w:style>
  <w:style w:type="paragraph" w:styleId="FootnoteText">
    <w:name w:val="footnote text"/>
    <w:basedOn w:val="Normal"/>
    <w:link w:val="FootnoteTextChar"/>
    <w:uiPriority w:val="99"/>
    <w:semiHidden/>
    <w:unhideWhenUsed/>
    <w:rsid w:val="000212F4"/>
  </w:style>
  <w:style w:type="character" w:customStyle="1" w:styleId="FootnoteTextChar">
    <w:name w:val="Footnote Text Char"/>
    <w:basedOn w:val="DefaultParagraphFont"/>
    <w:link w:val="FootnoteText"/>
    <w:uiPriority w:val="99"/>
    <w:semiHidden/>
    <w:rsid w:val="000212F4"/>
    <w:rPr>
      <w:sz w:val="20"/>
      <w:szCs w:val="20"/>
    </w:rPr>
  </w:style>
  <w:style w:type="character" w:styleId="FootnoteReference">
    <w:name w:val="footnote reference"/>
    <w:basedOn w:val="DefaultParagraphFont"/>
    <w:uiPriority w:val="99"/>
    <w:semiHidden/>
    <w:unhideWhenUsed/>
    <w:rsid w:val="000212F4"/>
    <w:rPr>
      <w:vertAlign w:val="superscript"/>
    </w:rPr>
  </w:style>
  <w:style w:type="character" w:styleId="FollowedHyperlink">
    <w:name w:val="FollowedHyperlink"/>
    <w:basedOn w:val="DefaultParagraphFont"/>
    <w:uiPriority w:val="99"/>
    <w:semiHidden/>
    <w:unhideWhenUsed/>
    <w:rsid w:val="00B96DE3"/>
    <w:rPr>
      <w:color w:val="954F72" w:themeColor="followedHyperlink"/>
      <w:u w:val="single"/>
    </w:rPr>
  </w:style>
  <w:style w:type="character" w:customStyle="1" w:styleId="UnresolvedMention3">
    <w:name w:val="Unresolved Mention3"/>
    <w:basedOn w:val="DefaultParagraphFont"/>
    <w:uiPriority w:val="99"/>
    <w:semiHidden/>
    <w:unhideWhenUsed/>
    <w:rsid w:val="00B96DE3"/>
    <w:rPr>
      <w:color w:val="605E5C"/>
      <w:shd w:val="clear" w:color="auto" w:fill="E1DFDD"/>
    </w:rPr>
  </w:style>
  <w:style w:type="paragraph" w:styleId="Revision">
    <w:name w:val="Revision"/>
    <w:hidden/>
    <w:uiPriority w:val="99"/>
    <w:semiHidden/>
    <w:rsid w:val="001D0A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15">
      <w:bodyDiv w:val="1"/>
      <w:marLeft w:val="0"/>
      <w:marRight w:val="0"/>
      <w:marTop w:val="0"/>
      <w:marBottom w:val="0"/>
      <w:divBdr>
        <w:top w:val="none" w:sz="0" w:space="0" w:color="auto"/>
        <w:left w:val="none" w:sz="0" w:space="0" w:color="auto"/>
        <w:bottom w:val="none" w:sz="0" w:space="0" w:color="auto"/>
        <w:right w:val="none" w:sz="0" w:space="0" w:color="auto"/>
      </w:divBdr>
    </w:div>
    <w:div w:id="181207584">
      <w:bodyDiv w:val="1"/>
      <w:marLeft w:val="0"/>
      <w:marRight w:val="0"/>
      <w:marTop w:val="0"/>
      <w:marBottom w:val="0"/>
      <w:divBdr>
        <w:top w:val="none" w:sz="0" w:space="0" w:color="auto"/>
        <w:left w:val="none" w:sz="0" w:space="0" w:color="auto"/>
        <w:bottom w:val="none" w:sz="0" w:space="0" w:color="auto"/>
        <w:right w:val="none" w:sz="0" w:space="0" w:color="auto"/>
      </w:divBdr>
    </w:div>
    <w:div w:id="340787682">
      <w:bodyDiv w:val="1"/>
      <w:marLeft w:val="0"/>
      <w:marRight w:val="0"/>
      <w:marTop w:val="0"/>
      <w:marBottom w:val="0"/>
      <w:divBdr>
        <w:top w:val="none" w:sz="0" w:space="0" w:color="auto"/>
        <w:left w:val="none" w:sz="0" w:space="0" w:color="auto"/>
        <w:bottom w:val="none" w:sz="0" w:space="0" w:color="auto"/>
        <w:right w:val="none" w:sz="0" w:space="0" w:color="auto"/>
      </w:divBdr>
    </w:div>
    <w:div w:id="643588919">
      <w:bodyDiv w:val="1"/>
      <w:marLeft w:val="0"/>
      <w:marRight w:val="0"/>
      <w:marTop w:val="0"/>
      <w:marBottom w:val="0"/>
      <w:divBdr>
        <w:top w:val="none" w:sz="0" w:space="0" w:color="auto"/>
        <w:left w:val="none" w:sz="0" w:space="0" w:color="auto"/>
        <w:bottom w:val="none" w:sz="0" w:space="0" w:color="auto"/>
        <w:right w:val="none" w:sz="0" w:space="0" w:color="auto"/>
      </w:divBdr>
    </w:div>
    <w:div w:id="886063232">
      <w:bodyDiv w:val="1"/>
      <w:marLeft w:val="0"/>
      <w:marRight w:val="0"/>
      <w:marTop w:val="0"/>
      <w:marBottom w:val="0"/>
      <w:divBdr>
        <w:top w:val="none" w:sz="0" w:space="0" w:color="auto"/>
        <w:left w:val="none" w:sz="0" w:space="0" w:color="auto"/>
        <w:bottom w:val="none" w:sz="0" w:space="0" w:color="auto"/>
        <w:right w:val="none" w:sz="0" w:space="0" w:color="auto"/>
      </w:divBdr>
    </w:div>
    <w:div w:id="1144152619">
      <w:bodyDiv w:val="1"/>
      <w:marLeft w:val="0"/>
      <w:marRight w:val="0"/>
      <w:marTop w:val="0"/>
      <w:marBottom w:val="0"/>
      <w:divBdr>
        <w:top w:val="none" w:sz="0" w:space="0" w:color="auto"/>
        <w:left w:val="none" w:sz="0" w:space="0" w:color="auto"/>
        <w:bottom w:val="none" w:sz="0" w:space="0" w:color="auto"/>
        <w:right w:val="none" w:sz="0" w:space="0" w:color="auto"/>
      </w:divBdr>
    </w:div>
    <w:div w:id="1228957508">
      <w:bodyDiv w:val="1"/>
      <w:marLeft w:val="0"/>
      <w:marRight w:val="0"/>
      <w:marTop w:val="0"/>
      <w:marBottom w:val="0"/>
      <w:divBdr>
        <w:top w:val="none" w:sz="0" w:space="0" w:color="auto"/>
        <w:left w:val="none" w:sz="0" w:space="0" w:color="auto"/>
        <w:bottom w:val="none" w:sz="0" w:space="0" w:color="auto"/>
        <w:right w:val="none" w:sz="0" w:space="0" w:color="auto"/>
      </w:divBdr>
    </w:div>
    <w:div w:id="1252743562">
      <w:bodyDiv w:val="1"/>
      <w:marLeft w:val="0"/>
      <w:marRight w:val="0"/>
      <w:marTop w:val="0"/>
      <w:marBottom w:val="0"/>
      <w:divBdr>
        <w:top w:val="none" w:sz="0" w:space="0" w:color="auto"/>
        <w:left w:val="none" w:sz="0" w:space="0" w:color="auto"/>
        <w:bottom w:val="none" w:sz="0" w:space="0" w:color="auto"/>
        <w:right w:val="none" w:sz="0" w:space="0" w:color="auto"/>
      </w:divBdr>
    </w:div>
    <w:div w:id="1467359816">
      <w:bodyDiv w:val="1"/>
      <w:marLeft w:val="0"/>
      <w:marRight w:val="0"/>
      <w:marTop w:val="0"/>
      <w:marBottom w:val="0"/>
      <w:divBdr>
        <w:top w:val="none" w:sz="0" w:space="0" w:color="auto"/>
        <w:left w:val="none" w:sz="0" w:space="0" w:color="auto"/>
        <w:bottom w:val="none" w:sz="0" w:space="0" w:color="auto"/>
        <w:right w:val="none" w:sz="0" w:space="0" w:color="auto"/>
      </w:divBdr>
      <w:divsChild>
        <w:div w:id="1952783002">
          <w:marLeft w:val="0"/>
          <w:marRight w:val="0"/>
          <w:marTop w:val="0"/>
          <w:marBottom w:val="0"/>
          <w:divBdr>
            <w:top w:val="none" w:sz="0" w:space="0" w:color="auto"/>
            <w:left w:val="none" w:sz="0" w:space="0" w:color="auto"/>
            <w:bottom w:val="none" w:sz="0" w:space="0" w:color="auto"/>
            <w:right w:val="none" w:sz="0" w:space="0" w:color="auto"/>
          </w:divBdr>
        </w:div>
        <w:div w:id="594247186">
          <w:marLeft w:val="0"/>
          <w:marRight w:val="0"/>
          <w:marTop w:val="0"/>
          <w:marBottom w:val="0"/>
          <w:divBdr>
            <w:top w:val="none" w:sz="0" w:space="0" w:color="auto"/>
            <w:left w:val="none" w:sz="0" w:space="0" w:color="auto"/>
            <w:bottom w:val="none" w:sz="0" w:space="0" w:color="auto"/>
            <w:right w:val="none" w:sz="0" w:space="0" w:color="auto"/>
          </w:divBdr>
        </w:div>
        <w:div w:id="595360492">
          <w:marLeft w:val="0"/>
          <w:marRight w:val="0"/>
          <w:marTop w:val="0"/>
          <w:marBottom w:val="0"/>
          <w:divBdr>
            <w:top w:val="none" w:sz="0" w:space="0" w:color="auto"/>
            <w:left w:val="none" w:sz="0" w:space="0" w:color="auto"/>
            <w:bottom w:val="none" w:sz="0" w:space="0" w:color="auto"/>
            <w:right w:val="none" w:sz="0" w:space="0" w:color="auto"/>
          </w:divBdr>
        </w:div>
        <w:div w:id="1831407172">
          <w:marLeft w:val="0"/>
          <w:marRight w:val="0"/>
          <w:marTop w:val="0"/>
          <w:marBottom w:val="0"/>
          <w:divBdr>
            <w:top w:val="none" w:sz="0" w:space="0" w:color="auto"/>
            <w:left w:val="none" w:sz="0" w:space="0" w:color="auto"/>
            <w:bottom w:val="none" w:sz="0" w:space="0" w:color="auto"/>
            <w:right w:val="none" w:sz="0" w:space="0" w:color="auto"/>
          </w:divBdr>
        </w:div>
        <w:div w:id="1530684437">
          <w:marLeft w:val="0"/>
          <w:marRight w:val="0"/>
          <w:marTop w:val="0"/>
          <w:marBottom w:val="0"/>
          <w:divBdr>
            <w:top w:val="none" w:sz="0" w:space="0" w:color="auto"/>
            <w:left w:val="none" w:sz="0" w:space="0" w:color="auto"/>
            <w:bottom w:val="none" w:sz="0" w:space="0" w:color="auto"/>
            <w:right w:val="none" w:sz="0" w:space="0" w:color="auto"/>
          </w:divBdr>
        </w:div>
        <w:div w:id="726025680">
          <w:marLeft w:val="0"/>
          <w:marRight w:val="0"/>
          <w:marTop w:val="0"/>
          <w:marBottom w:val="0"/>
          <w:divBdr>
            <w:top w:val="none" w:sz="0" w:space="0" w:color="auto"/>
            <w:left w:val="none" w:sz="0" w:space="0" w:color="auto"/>
            <w:bottom w:val="none" w:sz="0" w:space="0" w:color="auto"/>
            <w:right w:val="none" w:sz="0" w:space="0" w:color="auto"/>
          </w:divBdr>
        </w:div>
        <w:div w:id="1187447893">
          <w:marLeft w:val="0"/>
          <w:marRight w:val="0"/>
          <w:marTop w:val="0"/>
          <w:marBottom w:val="0"/>
          <w:divBdr>
            <w:top w:val="none" w:sz="0" w:space="0" w:color="auto"/>
            <w:left w:val="none" w:sz="0" w:space="0" w:color="auto"/>
            <w:bottom w:val="none" w:sz="0" w:space="0" w:color="auto"/>
            <w:right w:val="none" w:sz="0" w:space="0" w:color="auto"/>
          </w:divBdr>
        </w:div>
        <w:div w:id="828909205">
          <w:marLeft w:val="0"/>
          <w:marRight w:val="0"/>
          <w:marTop w:val="0"/>
          <w:marBottom w:val="0"/>
          <w:divBdr>
            <w:top w:val="none" w:sz="0" w:space="0" w:color="auto"/>
            <w:left w:val="none" w:sz="0" w:space="0" w:color="auto"/>
            <w:bottom w:val="none" w:sz="0" w:space="0" w:color="auto"/>
            <w:right w:val="none" w:sz="0" w:space="0" w:color="auto"/>
          </w:divBdr>
        </w:div>
        <w:div w:id="728918634">
          <w:marLeft w:val="0"/>
          <w:marRight w:val="0"/>
          <w:marTop w:val="0"/>
          <w:marBottom w:val="0"/>
          <w:divBdr>
            <w:top w:val="none" w:sz="0" w:space="0" w:color="auto"/>
            <w:left w:val="none" w:sz="0" w:space="0" w:color="auto"/>
            <w:bottom w:val="none" w:sz="0" w:space="0" w:color="auto"/>
            <w:right w:val="none" w:sz="0" w:space="0" w:color="auto"/>
          </w:divBdr>
        </w:div>
        <w:div w:id="262305379">
          <w:marLeft w:val="0"/>
          <w:marRight w:val="0"/>
          <w:marTop w:val="0"/>
          <w:marBottom w:val="0"/>
          <w:divBdr>
            <w:top w:val="none" w:sz="0" w:space="0" w:color="auto"/>
            <w:left w:val="none" w:sz="0" w:space="0" w:color="auto"/>
            <w:bottom w:val="none" w:sz="0" w:space="0" w:color="auto"/>
            <w:right w:val="none" w:sz="0" w:space="0" w:color="auto"/>
          </w:divBdr>
        </w:div>
        <w:div w:id="1573809336">
          <w:marLeft w:val="0"/>
          <w:marRight w:val="0"/>
          <w:marTop w:val="0"/>
          <w:marBottom w:val="0"/>
          <w:divBdr>
            <w:top w:val="none" w:sz="0" w:space="0" w:color="auto"/>
            <w:left w:val="none" w:sz="0" w:space="0" w:color="auto"/>
            <w:bottom w:val="none" w:sz="0" w:space="0" w:color="auto"/>
            <w:right w:val="none" w:sz="0" w:space="0" w:color="auto"/>
          </w:divBdr>
        </w:div>
        <w:div w:id="23487113">
          <w:marLeft w:val="0"/>
          <w:marRight w:val="0"/>
          <w:marTop w:val="0"/>
          <w:marBottom w:val="0"/>
          <w:divBdr>
            <w:top w:val="none" w:sz="0" w:space="0" w:color="auto"/>
            <w:left w:val="none" w:sz="0" w:space="0" w:color="auto"/>
            <w:bottom w:val="none" w:sz="0" w:space="0" w:color="auto"/>
            <w:right w:val="none" w:sz="0" w:space="0" w:color="auto"/>
          </w:divBdr>
        </w:div>
        <w:div w:id="1291015151">
          <w:marLeft w:val="0"/>
          <w:marRight w:val="0"/>
          <w:marTop w:val="0"/>
          <w:marBottom w:val="0"/>
          <w:divBdr>
            <w:top w:val="none" w:sz="0" w:space="0" w:color="auto"/>
            <w:left w:val="none" w:sz="0" w:space="0" w:color="auto"/>
            <w:bottom w:val="none" w:sz="0" w:space="0" w:color="auto"/>
            <w:right w:val="none" w:sz="0" w:space="0" w:color="auto"/>
          </w:divBdr>
        </w:div>
        <w:div w:id="233783136">
          <w:marLeft w:val="0"/>
          <w:marRight w:val="0"/>
          <w:marTop w:val="0"/>
          <w:marBottom w:val="0"/>
          <w:divBdr>
            <w:top w:val="none" w:sz="0" w:space="0" w:color="auto"/>
            <w:left w:val="none" w:sz="0" w:space="0" w:color="auto"/>
            <w:bottom w:val="none" w:sz="0" w:space="0" w:color="auto"/>
            <w:right w:val="none" w:sz="0" w:space="0" w:color="auto"/>
          </w:divBdr>
        </w:div>
        <w:div w:id="1661272445">
          <w:marLeft w:val="0"/>
          <w:marRight w:val="0"/>
          <w:marTop w:val="0"/>
          <w:marBottom w:val="0"/>
          <w:divBdr>
            <w:top w:val="none" w:sz="0" w:space="0" w:color="auto"/>
            <w:left w:val="none" w:sz="0" w:space="0" w:color="auto"/>
            <w:bottom w:val="none" w:sz="0" w:space="0" w:color="auto"/>
            <w:right w:val="none" w:sz="0" w:space="0" w:color="auto"/>
          </w:divBdr>
        </w:div>
        <w:div w:id="43660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are1@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cochrane.org/handbook" TargetMode="External"/><Relationship Id="rId5" Type="http://schemas.openxmlformats.org/officeDocument/2006/relationships/webSettings" Target="webSettings.xml"/><Relationship Id="rId10" Type="http://schemas.openxmlformats.org/officeDocument/2006/relationships/hyperlink" Target="https://www.drubank.ca/" TargetMode="External"/><Relationship Id="rId4" Type="http://schemas.openxmlformats.org/officeDocument/2006/relationships/settings" Target="settings.xml"/><Relationship Id="rId9" Type="http://schemas.openxmlformats.org/officeDocument/2006/relationships/hyperlink" Target="source:%20https://www.who.int/medicines/publications/essentialmedicines/en/"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1F6539-1E34-F34E-870B-BAEC7C6B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6314</Words>
  <Characters>38648</Characters>
  <Application>Microsoft Office Word</Application>
  <DocSecurity>0</DocSecurity>
  <Lines>715</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Hare</dc:creator>
  <cp:keywords/>
  <dc:description/>
  <cp:lastModifiedBy>Sarah Hare</cp:lastModifiedBy>
  <cp:revision>4</cp:revision>
  <dcterms:created xsi:type="dcterms:W3CDTF">2020-08-27T13:18:00Z</dcterms:created>
  <dcterms:modified xsi:type="dcterms:W3CDTF">2020-08-27T13:20:00Z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http://www.zotero.org/styles/anaesthesia</vt:lpwstr>
  </property>
  <property fmtid="{D5CDD505-2E9C-101B-9397-08002B2CF9AE}" pid="9" name="Mendeley Recent Style Name 3_1">
    <vt:lpwstr>Anaesthesia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7c2fef25-9477-33ce-93d8-284cede009a3</vt:lpwstr>
  </property>
  <property fmtid="{D5CDD505-2E9C-101B-9397-08002B2CF9AE}" pid="24" name="Mendeley Citation Style_1">
    <vt:lpwstr>http://www.zotero.org/styles/anaesthesia</vt:lpwstr>
  </property>
</Properties>
</file>