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AC74" w14:textId="77777777" w:rsidR="00D86669" w:rsidRPr="000E4AD3" w:rsidRDefault="00EC08E0" w:rsidP="00D86669">
      <w:pPr>
        <w:spacing w:line="360" w:lineRule="auto"/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8B53F57" wp14:editId="3C4BE16C">
            <wp:simplePos x="0" y="0"/>
            <wp:positionH relativeFrom="column">
              <wp:posOffset>4086860</wp:posOffset>
            </wp:positionH>
            <wp:positionV relativeFrom="paragraph">
              <wp:posOffset>-283845</wp:posOffset>
            </wp:positionV>
            <wp:extent cx="2767330" cy="7315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7D6B4" w14:textId="77777777" w:rsidR="00D86669" w:rsidRPr="008F2A4C" w:rsidRDefault="00D86669" w:rsidP="00D86669">
      <w:pPr>
        <w:spacing w:line="360" w:lineRule="auto"/>
        <w:rPr>
          <w:rFonts w:ascii="Arial" w:hAnsi="Arial" w:cs="Arial"/>
          <w:szCs w:val="24"/>
        </w:rPr>
      </w:pPr>
    </w:p>
    <w:p w14:paraId="49F474D5" w14:textId="77777777" w:rsidR="00D86669" w:rsidRPr="008F2A4C" w:rsidRDefault="00D86669" w:rsidP="00D86669">
      <w:pPr>
        <w:pBdr>
          <w:bottom w:val="single" w:sz="6" w:space="1" w:color="auto"/>
        </w:pBdr>
        <w:rPr>
          <w:rFonts w:ascii="Arial" w:hAnsi="Arial" w:cs="Arial"/>
          <w:szCs w:val="24"/>
        </w:rPr>
      </w:pPr>
    </w:p>
    <w:p w14:paraId="4232E71F" w14:textId="77777777" w:rsidR="00D86669" w:rsidRPr="008F2A4C" w:rsidRDefault="00D86669" w:rsidP="00D86669">
      <w:pPr>
        <w:widowControl/>
        <w:outlineLvl w:val="0"/>
        <w:rPr>
          <w:rFonts w:ascii="Arial" w:hAnsi="Arial" w:cs="Arial"/>
          <w:b/>
          <w:szCs w:val="24"/>
        </w:rPr>
      </w:pPr>
    </w:p>
    <w:p w14:paraId="35D95EA3" w14:textId="77777777" w:rsidR="00D86669" w:rsidRPr="008F2A4C" w:rsidRDefault="00D86669" w:rsidP="00D86669">
      <w:pPr>
        <w:widowControl/>
        <w:outlineLvl w:val="0"/>
        <w:rPr>
          <w:rFonts w:ascii="Arial" w:hAnsi="Arial" w:cs="Arial"/>
          <w:b/>
          <w:szCs w:val="24"/>
        </w:rPr>
      </w:pPr>
    </w:p>
    <w:p w14:paraId="6F106CE7" w14:textId="77777777" w:rsidR="00F44800" w:rsidRDefault="00E97C91" w:rsidP="00E66429">
      <w:pPr>
        <w:widowControl/>
        <w:jc w:val="center"/>
        <w:outlineLvl w:val="0"/>
        <w:rPr>
          <w:rFonts w:ascii="Arial" w:hAnsi="Arial" w:cs="Arial"/>
          <w:b/>
          <w:szCs w:val="24"/>
        </w:rPr>
      </w:pPr>
      <w:r w:rsidRPr="008F2A4C">
        <w:rPr>
          <w:rFonts w:ascii="Arial" w:hAnsi="Arial" w:cs="Arial"/>
          <w:b/>
          <w:szCs w:val="24"/>
        </w:rPr>
        <w:t xml:space="preserve">Facts and figures – </w:t>
      </w:r>
      <w:r w:rsidR="003A7CA0" w:rsidRPr="008F2A4C">
        <w:rPr>
          <w:rFonts w:ascii="Arial" w:hAnsi="Arial" w:cs="Arial"/>
          <w:b/>
          <w:szCs w:val="24"/>
        </w:rPr>
        <w:t xml:space="preserve">oral health within </w:t>
      </w:r>
      <w:r w:rsidR="003B11F2">
        <w:rPr>
          <w:rFonts w:ascii="Arial" w:hAnsi="Arial" w:cs="Arial"/>
          <w:b/>
          <w:szCs w:val="24"/>
        </w:rPr>
        <w:t>the population of Tower Hamlets</w:t>
      </w:r>
    </w:p>
    <w:p w14:paraId="642EC404" w14:textId="77777777" w:rsidR="001C68FC" w:rsidRDefault="001C68FC" w:rsidP="00E66429">
      <w:pPr>
        <w:widowControl/>
        <w:jc w:val="center"/>
        <w:outlineLvl w:val="0"/>
        <w:rPr>
          <w:rFonts w:ascii="Arial" w:hAnsi="Arial" w:cs="Arial"/>
          <w:b/>
          <w:szCs w:val="24"/>
        </w:rPr>
      </w:pPr>
    </w:p>
    <w:p w14:paraId="7122AF15" w14:textId="77777777" w:rsidR="001C68FC" w:rsidRDefault="001C68FC" w:rsidP="001C68FC">
      <w:pPr>
        <w:widowControl/>
        <w:numPr>
          <w:ilvl w:val="0"/>
          <w:numId w:val="26"/>
        </w:num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Overview of population</w:t>
      </w:r>
    </w:p>
    <w:p w14:paraId="5AA3AC77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tbl>
      <w:tblPr>
        <w:tblW w:w="10048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2126"/>
        <w:gridCol w:w="1843"/>
        <w:gridCol w:w="1985"/>
      </w:tblGrid>
      <w:tr w:rsidR="00083E52" w:rsidRPr="008F2A4C" w14:paraId="1BC90D60" w14:textId="77777777" w:rsidTr="00083E52">
        <w:trPr>
          <w:jc w:val="center"/>
        </w:trPr>
        <w:tc>
          <w:tcPr>
            <w:tcW w:w="4094" w:type="dxa"/>
            <w:tcBorders>
              <w:bottom w:val="single" w:sz="4" w:space="0" w:color="auto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C4A8A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46CE5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Tower Hamlets</w:t>
            </w:r>
          </w:p>
        </w:tc>
        <w:tc>
          <w:tcPr>
            <w:tcW w:w="1843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26217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London</w:t>
            </w:r>
          </w:p>
        </w:tc>
        <w:tc>
          <w:tcPr>
            <w:tcW w:w="1985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9B81D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England</w:t>
            </w:r>
          </w:p>
        </w:tc>
      </w:tr>
      <w:tr w:rsidR="00083E52" w:rsidRPr="008F2A4C" w14:paraId="77538423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2D161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Number of people in the population (2011)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71DDF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254,096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1F797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8,173941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40DD5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53,012456</w:t>
            </w:r>
          </w:p>
        </w:tc>
      </w:tr>
      <w:tr w:rsidR="00083E52" w:rsidRPr="008F2A4C" w14:paraId="72DF9A7A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128CD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Size </w:t>
            </w:r>
            <w:r w:rsidRPr="008F2A4C">
              <w:rPr>
                <w:rFonts w:ascii="Arial" w:hAnsi="Arial" w:cs="Arial"/>
                <w:szCs w:val="24"/>
              </w:rPr>
              <w:t>(2011)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72480" w14:textId="77777777" w:rsidR="00083E52" w:rsidRPr="003B11F2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Times" w:hAnsi="Times"/>
                <w:sz w:val="20"/>
              </w:rPr>
            </w:pPr>
            <w:r w:rsidRPr="008F2A4C">
              <w:rPr>
                <w:rFonts w:ascii="Arial" w:hAnsi="Arial" w:cs="Arial"/>
                <w:szCs w:val="24"/>
              </w:rPr>
              <w:t>19.</w:t>
            </w:r>
            <w:r w:rsidRPr="003B11F2">
              <w:rPr>
                <w:rFonts w:ascii="Arial" w:hAnsi="Arial" w:cs="Arial"/>
                <w:szCs w:val="24"/>
              </w:rPr>
              <w:t>77km2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02F25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1572.15</w:t>
            </w:r>
            <w:r w:rsidRPr="003B11F2">
              <w:rPr>
                <w:rFonts w:ascii="Arial" w:hAnsi="Arial" w:cs="Arial"/>
                <w:szCs w:val="24"/>
              </w:rPr>
              <w:t>k</w:t>
            </w:r>
            <w:r w:rsidRPr="003B11F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m</w:t>
            </w:r>
            <w:r w:rsidRPr="003B11F2">
              <w:rPr>
                <w:rFonts w:ascii="Arial" w:hAnsi="Arial" w:cs="Arial"/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D86F7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130278.43</w:t>
            </w:r>
            <w:r w:rsidRPr="003B11F2">
              <w:rPr>
                <w:rFonts w:ascii="Arial" w:hAnsi="Arial" w:cs="Arial"/>
                <w:szCs w:val="24"/>
              </w:rPr>
              <w:t>k</w:t>
            </w:r>
            <w:r w:rsidRPr="003B11F2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m</w:t>
            </w:r>
            <w:r w:rsidRPr="003B11F2">
              <w:rPr>
                <w:rFonts w:ascii="Arial" w:hAnsi="Arial" w:cs="Arial"/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083E52" w:rsidRPr="008F2A4C" w14:paraId="1AD5B5C1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3637FB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 xml:space="preserve">Life expectancy at birth </w:t>
            </w:r>
            <w:r>
              <w:rPr>
                <w:rFonts w:ascii="Arial" w:hAnsi="Arial" w:cs="Arial"/>
                <w:szCs w:val="24"/>
              </w:rPr>
              <w:t xml:space="preserve">– males </w:t>
            </w:r>
            <w:r w:rsidRPr="008F2A4C">
              <w:rPr>
                <w:rFonts w:ascii="Arial" w:hAnsi="Arial" w:cs="Arial"/>
                <w:szCs w:val="24"/>
              </w:rPr>
              <w:t>(2009-11)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E3CD3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03DAD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AD336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</w:t>
            </w:r>
          </w:p>
        </w:tc>
      </w:tr>
      <w:tr w:rsidR="00083E52" w:rsidRPr="008F2A4C" w14:paraId="79C635BC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A7F9D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Life expectancy at birth – females </w:t>
            </w:r>
            <w:r w:rsidRPr="008F2A4C">
              <w:rPr>
                <w:rFonts w:ascii="Arial" w:hAnsi="Arial" w:cs="Arial"/>
                <w:szCs w:val="24"/>
              </w:rPr>
              <w:t>(2009-11)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E5CFD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21D2A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5CA7E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</w:t>
            </w:r>
          </w:p>
        </w:tc>
      </w:tr>
      <w:tr w:rsidR="00083E52" w:rsidRPr="008F2A4C" w14:paraId="25DAD33A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87810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Proportion of population belonging to a Black Minority Ethnic (BME) group</w:t>
            </w:r>
            <w:r w:rsidRPr="008F2A4C">
              <w:rPr>
                <w:rStyle w:val="FootnoteReference"/>
                <w:rFonts w:ascii="Arial" w:hAnsi="Arial" w:cs="Arial"/>
                <w:szCs w:val="24"/>
              </w:rPr>
              <w:footnoteReference w:id="1"/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2E6F1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69%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8F5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55%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B8BB1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20%</w:t>
            </w:r>
          </w:p>
        </w:tc>
      </w:tr>
      <w:tr w:rsidR="00083E52" w:rsidRPr="008F2A4C" w14:paraId="7BCF6B35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62E50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Average IMD (Index of Multiple Deprivation)</w:t>
            </w:r>
            <w:r w:rsidRPr="008F2A4C">
              <w:rPr>
                <w:rFonts w:ascii="Arial" w:hAnsi="Arial" w:cs="Arial"/>
                <w:position w:val="12"/>
                <w:szCs w:val="24"/>
              </w:rPr>
              <w:t xml:space="preserve"> </w:t>
            </w:r>
            <w:r w:rsidRPr="008F2A4C">
              <w:rPr>
                <w:rFonts w:ascii="Arial" w:hAnsi="Arial" w:cs="Arial"/>
                <w:szCs w:val="24"/>
              </w:rPr>
              <w:t>(2010)</w:t>
            </w:r>
            <w:r w:rsidRPr="008F2A4C">
              <w:rPr>
                <w:rStyle w:val="FootnoteReference"/>
                <w:rFonts w:ascii="Arial" w:hAnsi="Arial" w:cs="Arial"/>
                <w:szCs w:val="24"/>
              </w:rPr>
              <w:footnoteReference w:id="2"/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B8F86" w14:textId="77777777" w:rsidR="00083E52" w:rsidRPr="008F2A4C" w:rsidRDefault="0078697C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DE711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6336B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-</w:t>
            </w:r>
          </w:p>
        </w:tc>
      </w:tr>
      <w:tr w:rsidR="00083E52" w:rsidRPr="008F2A4C" w14:paraId="0C4C5509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0BA33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Child Poverty</w:t>
            </w:r>
            <w:r w:rsidRPr="008F2A4C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  <w:r w:rsidRPr="008F2A4C">
              <w:rPr>
                <w:rFonts w:ascii="Arial" w:hAnsi="Arial" w:cs="Arial"/>
                <w:position w:val="12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430BC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E7FF4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F7D72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</w:tr>
      <w:tr w:rsidR="00083E52" w:rsidRPr="008F2A4C" w14:paraId="24DD0827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6ECD8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Adult smokers aged 18 and over (2011/12)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90B9C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5F4426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21%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655FA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21%</w:t>
            </w:r>
          </w:p>
        </w:tc>
      </w:tr>
      <w:tr w:rsidR="00083E52" w:rsidRPr="008F2A4C" w14:paraId="6B2C404B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E79B6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 xml:space="preserve">Increasing and higher risk drinking in adults in (2008/09) 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02823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0AB92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23%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2C63F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24%</w:t>
            </w:r>
          </w:p>
        </w:tc>
      </w:tr>
      <w:tr w:rsidR="00083E52" w:rsidRPr="008F2A4C" w14:paraId="6B05C6F3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B5C2F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Healthy eating adults</w:t>
            </w:r>
            <w:r w:rsidRPr="008F2A4C">
              <w:rPr>
                <w:rStyle w:val="FootnoteReference"/>
                <w:rFonts w:ascii="Arial" w:hAnsi="Arial" w:cs="Arial"/>
                <w:szCs w:val="24"/>
              </w:rPr>
              <w:footnoteReference w:id="4"/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C2FF3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82B95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36%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CD6B5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</w:tr>
      <w:tr w:rsidR="00083E52" w:rsidRPr="008F2A4C" w14:paraId="02FA70D3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E5961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Physically active adults</w:t>
            </w:r>
            <w:r w:rsidRPr="008F2A4C">
              <w:rPr>
                <w:rStyle w:val="FootnoteReference"/>
                <w:rFonts w:ascii="Arial" w:hAnsi="Arial" w:cs="Arial"/>
                <w:szCs w:val="24"/>
              </w:rPr>
              <w:footnoteReference w:id="5"/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7B6E1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FAB01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Data not available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03A54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</w:tr>
      <w:tr w:rsidR="00083E52" w:rsidRPr="008F2A4C" w14:paraId="5CD34B93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70CFE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Child Obesity (aged 4-5 years)</w:t>
            </w:r>
            <w:r w:rsidRPr="008F2A4C">
              <w:rPr>
                <w:rStyle w:val="FootnoteReference"/>
                <w:rFonts w:ascii="Arial" w:hAnsi="Arial" w:cs="Arial"/>
                <w:szCs w:val="24"/>
              </w:rPr>
              <w:footnoteReference w:id="6"/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A4AE9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8A6EF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8F3F1" w14:textId="77777777" w:rsidR="00083E52" w:rsidRPr="008F2A4C" w:rsidRDefault="00182EE5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083E52" w:rsidRPr="008F2A4C">
              <w:rPr>
                <w:rFonts w:ascii="Arial" w:hAnsi="Arial" w:cs="Arial"/>
                <w:szCs w:val="24"/>
              </w:rPr>
              <w:t>%</w:t>
            </w:r>
          </w:p>
        </w:tc>
      </w:tr>
      <w:tr w:rsidR="00083E52" w:rsidRPr="008F2A4C" w14:paraId="0104271F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73D3D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lastRenderedPageBreak/>
              <w:t xml:space="preserve">Child Obesity (aged 10-11 years) 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52A25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26.5%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EB73E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22.4%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88B48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18.9%</w:t>
            </w:r>
          </w:p>
        </w:tc>
      </w:tr>
      <w:tr w:rsidR="00083E52" w:rsidRPr="008F2A4C" w14:paraId="0D6ACCF6" w14:textId="77777777" w:rsidTr="00083E52">
        <w:trPr>
          <w:jc w:val="center"/>
        </w:trPr>
        <w:tc>
          <w:tcPr>
            <w:tcW w:w="4094" w:type="dxa"/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D7B33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Adult Obesity</w:t>
            </w:r>
            <w:r w:rsidRPr="008F2A4C">
              <w:rPr>
                <w:rStyle w:val="FootnoteReference"/>
                <w:rFonts w:ascii="Arial" w:hAnsi="Arial" w:cs="Arial"/>
                <w:szCs w:val="24"/>
              </w:rPr>
              <w:footnoteReference w:id="7"/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C0A13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25.6%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B693D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 xml:space="preserve">Data not available </w:t>
            </w:r>
          </w:p>
        </w:tc>
        <w:tc>
          <w:tcPr>
            <w:tcW w:w="1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0FB70" w14:textId="77777777" w:rsidR="00083E52" w:rsidRPr="008F2A4C" w:rsidRDefault="00083E52" w:rsidP="00083E5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Cs w:val="24"/>
              </w:rPr>
            </w:pPr>
            <w:r w:rsidRPr="008F2A4C">
              <w:rPr>
                <w:rFonts w:ascii="Arial" w:hAnsi="Arial" w:cs="Arial"/>
                <w:szCs w:val="24"/>
              </w:rPr>
              <w:t>24.2%</w:t>
            </w:r>
          </w:p>
        </w:tc>
      </w:tr>
    </w:tbl>
    <w:p w14:paraId="5545A19A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6B557F8A" w14:textId="77777777" w:rsidR="00083E52" w:rsidRPr="00083E52" w:rsidRDefault="00083E52" w:rsidP="00083E52">
      <w:pPr>
        <w:autoSpaceDE w:val="0"/>
        <w:autoSpaceDN w:val="0"/>
        <w:adjustRightInd w:val="0"/>
        <w:spacing w:after="240"/>
        <w:ind w:left="360"/>
        <w:rPr>
          <w:rFonts w:ascii="Arial" w:hAnsi="Arial" w:cs="Arial"/>
          <w:szCs w:val="24"/>
          <w:lang w:val="en-US"/>
        </w:rPr>
      </w:pPr>
      <w:r w:rsidRPr="008F2A4C">
        <w:rPr>
          <w:rFonts w:ascii="Arial" w:hAnsi="Arial" w:cs="Arial"/>
          <w:szCs w:val="24"/>
          <w:lang w:val="en-US"/>
        </w:rPr>
        <w:t xml:space="preserve">Sources: Public Health England: Health Profile 2013 –Tower Hamlets </w:t>
      </w:r>
      <w:r w:rsidRPr="008F2A4C">
        <w:rPr>
          <w:rFonts w:ascii="Arial" w:hAnsi="Arial" w:cs="Arial"/>
          <w:color w:val="0000FF"/>
          <w:szCs w:val="24"/>
          <w:lang w:val="en-US"/>
        </w:rPr>
        <w:t>http://www.apho.org.uk/resource/view.aspx</w:t>
      </w:r>
      <w:proofErr w:type="gramStart"/>
      <w:r w:rsidRPr="008F2A4C">
        <w:rPr>
          <w:rFonts w:ascii="Arial" w:hAnsi="Arial" w:cs="Arial"/>
          <w:color w:val="0000FF"/>
          <w:szCs w:val="24"/>
          <w:lang w:val="en-US"/>
        </w:rPr>
        <w:t>?RID</w:t>
      </w:r>
      <w:proofErr w:type="gramEnd"/>
      <w:r w:rsidRPr="008F2A4C">
        <w:rPr>
          <w:rFonts w:ascii="Arial" w:hAnsi="Arial" w:cs="Arial"/>
          <w:color w:val="0000FF"/>
          <w:szCs w:val="24"/>
          <w:lang w:val="en-US"/>
        </w:rPr>
        <w:t>=50215&amp;REGION=50156&amp;SPEAR=</w:t>
      </w:r>
      <w:r>
        <w:rPr>
          <w:rFonts w:ascii="Arial" w:hAnsi="Arial" w:cs="Arial"/>
          <w:color w:val="0000FF"/>
          <w:szCs w:val="24"/>
          <w:lang w:val="en-US"/>
        </w:rPr>
        <w:br/>
      </w:r>
    </w:p>
    <w:p w14:paraId="4A0AAEDE" w14:textId="77777777" w:rsidR="00083E52" w:rsidRDefault="00083E52" w:rsidP="00083E52">
      <w:pPr>
        <w:widowControl/>
        <w:numPr>
          <w:ilvl w:val="0"/>
          <w:numId w:val="26"/>
        </w:num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Dental health among children in Tower Hamlets </w:t>
      </w:r>
    </w:p>
    <w:p w14:paraId="16E35D7B" w14:textId="77777777" w:rsidR="0078697C" w:rsidRDefault="0078697C" w:rsidP="0078697C">
      <w:pPr>
        <w:widowControl/>
        <w:outlineLvl w:val="0"/>
        <w:rPr>
          <w:rFonts w:ascii="Arial" w:hAnsi="Arial" w:cs="Arial"/>
          <w:b/>
          <w:szCs w:val="24"/>
        </w:rPr>
      </w:pPr>
    </w:p>
    <w:p w14:paraId="2B860191" w14:textId="77777777" w:rsidR="0078697C" w:rsidRDefault="0078697C" w:rsidP="0078697C">
      <w:pPr>
        <w:widowControl/>
        <w:outlineLvl w:val="0"/>
        <w:rPr>
          <w:rFonts w:ascii="Arial" w:hAnsi="Arial" w:cs="Arial"/>
          <w:szCs w:val="24"/>
        </w:rPr>
      </w:pPr>
      <w:r w:rsidRPr="0078697C">
        <w:rPr>
          <w:rFonts w:ascii="Arial" w:hAnsi="Arial" w:cs="Arial"/>
          <w:szCs w:val="24"/>
        </w:rPr>
        <w:t xml:space="preserve">Like many childhood diseases, there </w:t>
      </w:r>
      <w:r>
        <w:rPr>
          <w:rFonts w:ascii="Arial" w:hAnsi="Arial" w:cs="Arial"/>
          <w:szCs w:val="24"/>
        </w:rPr>
        <w:t>is</w:t>
      </w:r>
      <w:r w:rsidRPr="0078697C">
        <w:rPr>
          <w:rFonts w:ascii="Arial" w:hAnsi="Arial" w:cs="Arial"/>
          <w:szCs w:val="24"/>
        </w:rPr>
        <w:t xml:space="preserve"> a positive correlation between tooth decay experience and socio-economic deprivation. </w:t>
      </w:r>
    </w:p>
    <w:p w14:paraId="4EF6CEE6" w14:textId="77777777" w:rsidR="0078697C" w:rsidRDefault="0078697C" w:rsidP="0078697C">
      <w:pPr>
        <w:widowControl/>
        <w:outlineLvl w:val="0"/>
        <w:rPr>
          <w:rFonts w:ascii="Arial" w:hAnsi="Arial" w:cs="Arial"/>
          <w:szCs w:val="24"/>
        </w:rPr>
      </w:pPr>
    </w:p>
    <w:p w14:paraId="6D6C225F" w14:textId="77777777" w:rsidR="0078697C" w:rsidRPr="0078697C" w:rsidRDefault="0078697C" w:rsidP="0078697C">
      <w:pPr>
        <w:widowControl/>
        <w:outlineLvl w:val="0"/>
        <w:rPr>
          <w:rFonts w:ascii="Arial" w:hAnsi="Arial" w:cs="Arial"/>
          <w:szCs w:val="24"/>
        </w:rPr>
      </w:pPr>
      <w:r w:rsidRPr="0078697C">
        <w:rPr>
          <w:rFonts w:ascii="Arial" w:hAnsi="Arial" w:cs="Arial"/>
          <w:szCs w:val="24"/>
        </w:rPr>
        <w:t xml:space="preserve">London boroughs with higher Index of Multiple Deprivation (IMD) 2010 scores </w:t>
      </w:r>
      <w:r>
        <w:rPr>
          <w:rFonts w:ascii="Arial" w:hAnsi="Arial" w:cs="Arial"/>
          <w:szCs w:val="24"/>
        </w:rPr>
        <w:t>(Tower Hamlets</w:t>
      </w:r>
      <w:r w:rsidR="00182EE5">
        <w:rPr>
          <w:rFonts w:ascii="Arial" w:hAnsi="Arial" w:cs="Arial"/>
          <w:szCs w:val="24"/>
        </w:rPr>
        <w:t xml:space="preserve"> scored 40%</w:t>
      </w:r>
      <w:r>
        <w:rPr>
          <w:rFonts w:ascii="Arial" w:hAnsi="Arial" w:cs="Arial"/>
          <w:szCs w:val="24"/>
        </w:rPr>
        <w:t xml:space="preserve">) </w:t>
      </w:r>
      <w:r w:rsidRPr="0078697C">
        <w:rPr>
          <w:rFonts w:ascii="Arial" w:hAnsi="Arial" w:cs="Arial"/>
          <w:szCs w:val="24"/>
        </w:rPr>
        <w:t>had a higher average number of untreated decayed, filled and missing teeth in five-year-old children in 2012.</w:t>
      </w:r>
    </w:p>
    <w:p w14:paraId="686F8807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19C25594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8F2A4C">
        <w:rPr>
          <w:rFonts w:ascii="Arial" w:hAnsi="Arial" w:cs="Arial"/>
          <w:szCs w:val="24"/>
          <w:lang w:val="en-US"/>
        </w:rPr>
        <w:t xml:space="preserve">Average number of </w:t>
      </w:r>
      <w:r w:rsidRPr="003B11F2">
        <w:rPr>
          <w:rFonts w:ascii="Arial" w:hAnsi="Arial" w:cs="Arial"/>
          <w:b/>
          <w:szCs w:val="24"/>
          <w:lang w:val="en-US"/>
        </w:rPr>
        <w:t>decayed teeth</w:t>
      </w:r>
      <w:r w:rsidRPr="008F2A4C">
        <w:rPr>
          <w:rFonts w:ascii="Arial" w:hAnsi="Arial" w:cs="Arial"/>
          <w:szCs w:val="24"/>
          <w:lang w:val="en-US"/>
        </w:rPr>
        <w:t xml:space="preserve"> in 5-year-old children (2012) in Tower Hamlets is 1.36</w:t>
      </w:r>
      <w:r>
        <w:rPr>
          <w:rFonts w:ascii="Arial" w:hAnsi="Arial" w:cs="Arial"/>
          <w:szCs w:val="24"/>
          <w:lang w:val="en-US"/>
        </w:rPr>
        <w:t xml:space="preserve">  (compared with </w:t>
      </w:r>
      <w:r w:rsidRPr="008F2A4C">
        <w:rPr>
          <w:rFonts w:ascii="Arial" w:hAnsi="Arial" w:cs="Arial"/>
          <w:szCs w:val="24"/>
          <w:lang w:val="en-US"/>
        </w:rPr>
        <w:t>0.9</w:t>
      </w:r>
      <w:r>
        <w:rPr>
          <w:rFonts w:ascii="Arial" w:hAnsi="Arial" w:cs="Arial"/>
          <w:szCs w:val="24"/>
          <w:lang w:val="en-US"/>
        </w:rPr>
        <w:t>4 in London and 0.73 in England).</w:t>
      </w:r>
      <w:r w:rsidRPr="004516E7">
        <w:rPr>
          <w:rFonts w:ascii="Arial" w:hAnsi="Arial" w:cs="Arial"/>
          <w:szCs w:val="24"/>
          <w:lang w:val="en-US"/>
        </w:rPr>
        <w:t xml:space="preserve"> </w:t>
      </w:r>
    </w:p>
    <w:p w14:paraId="4F59CADC" w14:textId="77777777" w:rsidR="00083E52" w:rsidRPr="008F2A4C" w:rsidRDefault="00083E52" w:rsidP="00083E52">
      <w:pPr>
        <w:widowControl/>
        <w:ind w:left="360"/>
        <w:rPr>
          <w:rFonts w:ascii="Arial" w:hAnsi="Arial" w:cs="Arial"/>
          <w:szCs w:val="24"/>
          <w:lang w:val="en-US"/>
        </w:rPr>
      </w:pPr>
    </w:p>
    <w:p w14:paraId="42C82753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8F2A4C">
        <w:rPr>
          <w:rFonts w:ascii="Arial" w:hAnsi="Arial" w:cs="Arial"/>
          <w:szCs w:val="24"/>
          <w:lang w:val="en-US"/>
        </w:rPr>
        <w:t xml:space="preserve">Average number of </w:t>
      </w:r>
      <w:r w:rsidRPr="003B11F2">
        <w:rPr>
          <w:rFonts w:ascii="Arial" w:hAnsi="Arial" w:cs="Arial"/>
          <w:b/>
          <w:szCs w:val="24"/>
          <w:lang w:val="en-US"/>
        </w:rPr>
        <w:t>missing teeth</w:t>
      </w:r>
      <w:r w:rsidRPr="008F2A4C">
        <w:rPr>
          <w:rFonts w:ascii="Arial" w:hAnsi="Arial" w:cs="Arial"/>
          <w:szCs w:val="24"/>
          <w:lang w:val="en-US"/>
        </w:rPr>
        <w:t xml:space="preserve"> in 5-year-old children (2012) in Tower Hamlets is 0.21</w:t>
      </w:r>
      <w:r>
        <w:rPr>
          <w:rFonts w:ascii="Arial" w:hAnsi="Arial" w:cs="Arial"/>
          <w:szCs w:val="24"/>
          <w:lang w:val="en-US"/>
        </w:rPr>
        <w:t xml:space="preserve"> (compared</w:t>
      </w:r>
      <w:r w:rsidRPr="008F2A4C">
        <w:rPr>
          <w:rFonts w:ascii="Arial" w:hAnsi="Arial" w:cs="Arial"/>
          <w:szCs w:val="24"/>
          <w:lang w:val="en-US"/>
        </w:rPr>
        <w:t xml:space="preserve"> with 0.1</w:t>
      </w:r>
      <w:r>
        <w:rPr>
          <w:rFonts w:ascii="Arial" w:hAnsi="Arial" w:cs="Arial"/>
          <w:szCs w:val="24"/>
          <w:lang w:val="en-US"/>
        </w:rPr>
        <w:t>3 in London and 0.11 in England).</w:t>
      </w:r>
      <w:r w:rsidRPr="008F2A4C">
        <w:rPr>
          <w:rFonts w:ascii="Arial" w:hAnsi="Arial" w:cs="Arial"/>
          <w:szCs w:val="24"/>
          <w:lang w:val="en-US"/>
        </w:rPr>
        <w:t xml:space="preserve"> </w:t>
      </w:r>
    </w:p>
    <w:p w14:paraId="139966FC" w14:textId="77777777" w:rsidR="00083E52" w:rsidRDefault="00083E52" w:rsidP="00083E52">
      <w:pPr>
        <w:widowControl/>
        <w:ind w:left="360"/>
        <w:rPr>
          <w:rFonts w:ascii="Arial" w:hAnsi="Arial" w:cs="Arial"/>
          <w:szCs w:val="24"/>
          <w:lang w:val="en-US"/>
        </w:rPr>
      </w:pPr>
    </w:p>
    <w:p w14:paraId="7F107E20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8F2A4C">
        <w:rPr>
          <w:rFonts w:ascii="Arial" w:hAnsi="Arial" w:cs="Arial"/>
          <w:szCs w:val="24"/>
          <w:lang w:val="en-US"/>
        </w:rPr>
        <w:t xml:space="preserve">Average number of </w:t>
      </w:r>
      <w:r w:rsidRPr="003B11F2">
        <w:rPr>
          <w:rFonts w:ascii="Arial" w:hAnsi="Arial" w:cs="Arial"/>
          <w:b/>
          <w:szCs w:val="24"/>
          <w:lang w:val="en-US"/>
        </w:rPr>
        <w:t>filled teeth</w:t>
      </w:r>
      <w:r w:rsidRPr="008F2A4C">
        <w:rPr>
          <w:rFonts w:ascii="Arial" w:hAnsi="Arial" w:cs="Arial"/>
          <w:szCs w:val="24"/>
          <w:lang w:val="en-US"/>
        </w:rPr>
        <w:t xml:space="preserve"> in 5-year-old children (2012) in Tower Hamlets is 0.21</w:t>
      </w:r>
      <w:r>
        <w:rPr>
          <w:rFonts w:ascii="Arial" w:hAnsi="Arial" w:cs="Arial"/>
          <w:szCs w:val="24"/>
          <w:lang w:val="en-US"/>
        </w:rPr>
        <w:t xml:space="preserve"> (compared </w:t>
      </w:r>
      <w:r w:rsidRPr="008F2A4C">
        <w:rPr>
          <w:rFonts w:ascii="Arial" w:hAnsi="Arial" w:cs="Arial"/>
          <w:szCs w:val="24"/>
          <w:lang w:val="en-US"/>
        </w:rPr>
        <w:t>with 0.16 in London and 0.11 in England</w:t>
      </w:r>
      <w:r>
        <w:rPr>
          <w:rFonts w:ascii="Arial" w:hAnsi="Arial" w:cs="Arial"/>
          <w:szCs w:val="24"/>
          <w:lang w:val="en-US"/>
        </w:rPr>
        <w:t>)</w:t>
      </w:r>
      <w:r w:rsidRPr="008F2A4C">
        <w:rPr>
          <w:rFonts w:ascii="Arial" w:hAnsi="Arial" w:cs="Arial"/>
          <w:szCs w:val="24"/>
          <w:lang w:val="en-US"/>
        </w:rPr>
        <w:t xml:space="preserve">. </w:t>
      </w:r>
    </w:p>
    <w:p w14:paraId="36C394C0" w14:textId="77777777" w:rsidR="00083E52" w:rsidRPr="008F2A4C" w:rsidRDefault="00083E52" w:rsidP="00083E52">
      <w:pPr>
        <w:widowControl/>
        <w:rPr>
          <w:rFonts w:ascii="Arial" w:hAnsi="Arial" w:cs="Arial"/>
          <w:szCs w:val="24"/>
          <w:lang w:val="en-US"/>
        </w:rPr>
      </w:pPr>
    </w:p>
    <w:p w14:paraId="082E5ECC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8F2A4C">
        <w:rPr>
          <w:rFonts w:ascii="Arial" w:hAnsi="Arial" w:cs="Arial"/>
          <w:szCs w:val="24"/>
          <w:lang w:val="en-US"/>
        </w:rPr>
        <w:t xml:space="preserve">46% of 5-year-olds </w:t>
      </w:r>
      <w:r>
        <w:rPr>
          <w:rFonts w:ascii="Arial" w:hAnsi="Arial" w:cs="Arial"/>
          <w:szCs w:val="24"/>
          <w:lang w:val="en-US"/>
        </w:rPr>
        <w:t>in Tower Hamlets experience</w:t>
      </w:r>
      <w:r w:rsidRPr="008F2A4C">
        <w:rPr>
          <w:rFonts w:ascii="Arial" w:hAnsi="Arial" w:cs="Arial"/>
          <w:szCs w:val="24"/>
          <w:lang w:val="en-US"/>
        </w:rPr>
        <w:t xml:space="preserve"> </w:t>
      </w:r>
      <w:r w:rsidRPr="003B11F2">
        <w:rPr>
          <w:rFonts w:ascii="Arial" w:hAnsi="Arial" w:cs="Arial"/>
          <w:b/>
          <w:szCs w:val="24"/>
          <w:lang w:val="en-US"/>
        </w:rPr>
        <w:t>tooth decay</w:t>
      </w:r>
      <w:r>
        <w:rPr>
          <w:rFonts w:ascii="Arial" w:hAnsi="Arial" w:cs="Arial"/>
          <w:szCs w:val="24"/>
          <w:lang w:val="en-US"/>
        </w:rPr>
        <w:t xml:space="preserve"> (compared with</w:t>
      </w:r>
      <w:r w:rsidRPr="008F2A4C">
        <w:rPr>
          <w:rFonts w:ascii="Arial" w:hAnsi="Arial" w:cs="Arial"/>
          <w:szCs w:val="24"/>
          <w:lang w:val="en-US"/>
        </w:rPr>
        <w:t xml:space="preserve"> 33% in London and 28% in England).</w:t>
      </w:r>
      <w:r w:rsidR="00DB47DD">
        <w:rPr>
          <w:rFonts w:ascii="Arial" w:hAnsi="Arial" w:cs="Arial"/>
          <w:szCs w:val="24"/>
          <w:lang w:val="en-US"/>
        </w:rPr>
        <w:t xml:space="preserve"> </w:t>
      </w:r>
      <w:r w:rsidR="00DB47DD" w:rsidRPr="00DB47DD">
        <w:rPr>
          <w:rFonts w:ascii="Arial" w:hAnsi="Arial" w:cs="Arial"/>
          <w:i/>
          <w:szCs w:val="24"/>
          <w:lang w:val="en-US"/>
        </w:rPr>
        <w:t>This is the highest percentage of all the London boroughs.</w:t>
      </w:r>
    </w:p>
    <w:p w14:paraId="75F771CD" w14:textId="77777777" w:rsidR="00083E52" w:rsidRPr="008F2A4C" w:rsidRDefault="00083E52" w:rsidP="00083E52">
      <w:pPr>
        <w:widowControl/>
        <w:rPr>
          <w:rFonts w:ascii="Arial" w:hAnsi="Arial" w:cs="Arial"/>
          <w:szCs w:val="24"/>
          <w:lang w:val="en-US"/>
        </w:rPr>
      </w:pPr>
    </w:p>
    <w:p w14:paraId="30D5C06E" w14:textId="77777777" w:rsidR="00083E52" w:rsidRPr="00DB47DD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i/>
          <w:szCs w:val="24"/>
          <w:lang w:val="en-US"/>
        </w:rPr>
      </w:pPr>
      <w:r w:rsidRPr="008F2A4C">
        <w:rPr>
          <w:rFonts w:ascii="Arial" w:hAnsi="Arial" w:cs="Arial"/>
          <w:szCs w:val="24"/>
          <w:lang w:val="en-US"/>
        </w:rPr>
        <w:t xml:space="preserve">41% of 5-year-old children in Tower Hamlets had one or more </w:t>
      </w:r>
      <w:r w:rsidRPr="003B11F2">
        <w:rPr>
          <w:rFonts w:ascii="Arial" w:hAnsi="Arial" w:cs="Arial"/>
          <w:b/>
          <w:szCs w:val="24"/>
          <w:lang w:val="en-US"/>
        </w:rPr>
        <w:t>decayed tooth</w:t>
      </w:r>
      <w:r w:rsidRPr="008F2A4C">
        <w:rPr>
          <w:rFonts w:ascii="Arial" w:hAnsi="Arial" w:cs="Arial"/>
          <w:szCs w:val="24"/>
          <w:lang w:val="en-US"/>
        </w:rPr>
        <w:t xml:space="preserve"> in 2012 (compared to 29%</w:t>
      </w:r>
      <w:r>
        <w:rPr>
          <w:rFonts w:ascii="Arial" w:hAnsi="Arial" w:cs="Arial"/>
          <w:szCs w:val="24"/>
          <w:lang w:val="en-US"/>
        </w:rPr>
        <w:t xml:space="preserve"> in London and 25% in England).</w:t>
      </w:r>
      <w:r w:rsidR="00DB47DD">
        <w:rPr>
          <w:rFonts w:ascii="Arial" w:hAnsi="Arial" w:cs="Arial"/>
          <w:szCs w:val="24"/>
          <w:lang w:val="en-US"/>
        </w:rPr>
        <w:t xml:space="preserve"> </w:t>
      </w:r>
      <w:r w:rsidR="00DB47DD" w:rsidRPr="00DB47DD">
        <w:rPr>
          <w:rFonts w:ascii="Arial" w:hAnsi="Arial" w:cs="Arial"/>
          <w:i/>
          <w:szCs w:val="24"/>
          <w:lang w:val="en-US"/>
        </w:rPr>
        <w:t>This is the highest percentage of all the London boroughs.</w:t>
      </w:r>
    </w:p>
    <w:p w14:paraId="134418A6" w14:textId="77777777" w:rsidR="00083E52" w:rsidRPr="008F2A4C" w:rsidRDefault="00083E52" w:rsidP="00083E52">
      <w:pPr>
        <w:widowControl/>
        <w:rPr>
          <w:rFonts w:ascii="Arial" w:hAnsi="Arial" w:cs="Arial"/>
          <w:szCs w:val="24"/>
          <w:lang w:val="en-US"/>
        </w:rPr>
      </w:pPr>
    </w:p>
    <w:p w14:paraId="3672663B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3B11F2">
        <w:rPr>
          <w:rFonts w:ascii="Arial" w:hAnsi="Arial" w:cs="Arial"/>
          <w:szCs w:val="24"/>
          <w:lang w:val="en-US"/>
        </w:rPr>
        <w:t xml:space="preserve">The average number of </w:t>
      </w:r>
      <w:r w:rsidRPr="003B11F2">
        <w:rPr>
          <w:rFonts w:ascii="Arial" w:hAnsi="Arial" w:cs="Arial"/>
          <w:b/>
          <w:szCs w:val="24"/>
          <w:lang w:val="en-US"/>
        </w:rPr>
        <w:t>decayed, missing and filled teeth</w:t>
      </w:r>
      <w:r w:rsidRPr="003B11F2">
        <w:rPr>
          <w:rFonts w:ascii="Arial" w:hAnsi="Arial" w:cs="Arial"/>
          <w:szCs w:val="24"/>
          <w:lang w:val="en-US"/>
        </w:rPr>
        <w:t xml:space="preserve"> among 5-year-old children in Tower Hamlets was 1.75 in 2008 (compared with 1.31 in London and 1.11 in England)</w:t>
      </w:r>
      <w:r>
        <w:rPr>
          <w:rFonts w:ascii="Arial" w:hAnsi="Arial" w:cs="Arial"/>
          <w:szCs w:val="24"/>
          <w:lang w:val="en-US"/>
        </w:rPr>
        <w:t xml:space="preserve"> </w:t>
      </w:r>
      <w:r w:rsidRPr="003B11F2">
        <w:rPr>
          <w:rFonts w:ascii="Arial" w:hAnsi="Arial" w:cs="Arial"/>
          <w:szCs w:val="24"/>
          <w:lang w:val="en-US"/>
        </w:rPr>
        <w:t>and 1.78 in 2012 (compared with 1.</w:t>
      </w:r>
      <w:r>
        <w:rPr>
          <w:rFonts w:ascii="Arial" w:hAnsi="Arial" w:cs="Arial"/>
          <w:szCs w:val="24"/>
          <w:lang w:val="en-US"/>
        </w:rPr>
        <w:t>23</w:t>
      </w:r>
      <w:r w:rsidRPr="003B11F2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in London </w:t>
      </w:r>
      <w:r w:rsidRPr="003B11F2">
        <w:rPr>
          <w:rFonts w:ascii="Arial" w:hAnsi="Arial" w:cs="Arial"/>
          <w:szCs w:val="24"/>
          <w:lang w:val="en-US"/>
        </w:rPr>
        <w:t xml:space="preserve">and </w:t>
      </w:r>
      <w:r>
        <w:rPr>
          <w:rFonts w:ascii="Arial" w:hAnsi="Arial" w:cs="Arial"/>
          <w:szCs w:val="24"/>
          <w:lang w:val="en-US"/>
        </w:rPr>
        <w:t>0.94 in England).</w:t>
      </w:r>
    </w:p>
    <w:p w14:paraId="5DC8BBAD" w14:textId="77777777" w:rsidR="00083E52" w:rsidRDefault="00083E52" w:rsidP="00083E52">
      <w:pPr>
        <w:widowControl/>
        <w:rPr>
          <w:rFonts w:ascii="Arial" w:hAnsi="Arial" w:cs="Arial"/>
          <w:szCs w:val="24"/>
          <w:lang w:val="en-US"/>
        </w:rPr>
      </w:pPr>
    </w:p>
    <w:p w14:paraId="78D4B84E" w14:textId="77777777" w:rsidR="00083E52" w:rsidRPr="00724EAC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724EAC">
        <w:rPr>
          <w:rFonts w:ascii="Arial" w:hAnsi="Arial" w:cs="Arial"/>
          <w:szCs w:val="24"/>
          <w:lang w:val="en-US"/>
        </w:rPr>
        <w:t xml:space="preserve">39% of 5-year-old children in Tower Hamlets had one or </w:t>
      </w:r>
      <w:r w:rsidRPr="00724EAC">
        <w:rPr>
          <w:rFonts w:ascii="Arial" w:hAnsi="Arial" w:cs="Arial"/>
          <w:b/>
          <w:szCs w:val="24"/>
          <w:lang w:val="en-US"/>
        </w:rPr>
        <w:t>more decayed, missing or filled tooth</w:t>
      </w:r>
      <w:r w:rsidRPr="00724EAC">
        <w:rPr>
          <w:rFonts w:ascii="Arial" w:hAnsi="Arial" w:cs="Arial"/>
          <w:szCs w:val="24"/>
          <w:lang w:val="en-US"/>
        </w:rPr>
        <w:t xml:space="preserve"> in 2008 </w:t>
      </w:r>
      <w:r w:rsidRPr="003B11F2">
        <w:rPr>
          <w:rFonts w:ascii="Arial" w:hAnsi="Arial" w:cs="Arial"/>
          <w:szCs w:val="24"/>
          <w:lang w:val="en-US"/>
        </w:rPr>
        <w:t xml:space="preserve">(compared with </w:t>
      </w:r>
      <w:r>
        <w:rPr>
          <w:rFonts w:ascii="Arial" w:hAnsi="Arial" w:cs="Arial"/>
          <w:szCs w:val="24"/>
          <w:lang w:val="en-US"/>
        </w:rPr>
        <w:t>33%</w:t>
      </w:r>
      <w:r w:rsidRPr="003B11F2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in London </w:t>
      </w:r>
      <w:r w:rsidRPr="003B11F2">
        <w:rPr>
          <w:rFonts w:ascii="Arial" w:hAnsi="Arial" w:cs="Arial"/>
          <w:szCs w:val="24"/>
          <w:lang w:val="en-US"/>
        </w:rPr>
        <w:t xml:space="preserve">and </w:t>
      </w:r>
      <w:r>
        <w:rPr>
          <w:rFonts w:ascii="Arial" w:hAnsi="Arial" w:cs="Arial"/>
          <w:szCs w:val="24"/>
          <w:lang w:val="en-US"/>
        </w:rPr>
        <w:t xml:space="preserve">31% in England) </w:t>
      </w:r>
      <w:r w:rsidRPr="00724EAC">
        <w:rPr>
          <w:rFonts w:ascii="Arial" w:hAnsi="Arial" w:cs="Arial"/>
          <w:szCs w:val="24"/>
          <w:lang w:val="en-US"/>
        </w:rPr>
        <w:t xml:space="preserve">and 46% of children </w:t>
      </w:r>
      <w:r>
        <w:rPr>
          <w:rFonts w:ascii="Arial" w:hAnsi="Arial" w:cs="Arial"/>
          <w:szCs w:val="24"/>
          <w:lang w:val="en-US"/>
        </w:rPr>
        <w:t xml:space="preserve">in Tower Hamlets </w:t>
      </w:r>
      <w:r w:rsidRPr="00724EAC">
        <w:rPr>
          <w:rFonts w:ascii="Arial" w:hAnsi="Arial" w:cs="Arial"/>
          <w:szCs w:val="24"/>
          <w:lang w:val="en-US"/>
        </w:rPr>
        <w:t xml:space="preserve">had one or more decayed, </w:t>
      </w:r>
      <w:r>
        <w:rPr>
          <w:rFonts w:ascii="Arial" w:hAnsi="Arial" w:cs="Arial"/>
          <w:szCs w:val="24"/>
          <w:lang w:val="en-US"/>
        </w:rPr>
        <w:t>missing or filled tooth in 2012 (compared with 33%</w:t>
      </w:r>
      <w:r w:rsidRPr="003B11F2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in London </w:t>
      </w:r>
      <w:r w:rsidRPr="003B11F2">
        <w:rPr>
          <w:rFonts w:ascii="Arial" w:hAnsi="Arial" w:cs="Arial"/>
          <w:szCs w:val="24"/>
          <w:lang w:val="en-US"/>
        </w:rPr>
        <w:t xml:space="preserve">and </w:t>
      </w:r>
      <w:r>
        <w:rPr>
          <w:rFonts w:ascii="Arial" w:hAnsi="Arial" w:cs="Arial"/>
          <w:szCs w:val="24"/>
          <w:lang w:val="en-US"/>
        </w:rPr>
        <w:t>28% in England).</w:t>
      </w:r>
      <w:r>
        <w:rPr>
          <w:rFonts w:ascii="Arial" w:hAnsi="Arial" w:cs="Arial"/>
          <w:szCs w:val="24"/>
          <w:lang w:val="en-US"/>
        </w:rPr>
        <w:br/>
      </w:r>
    </w:p>
    <w:p w14:paraId="13AF8E16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724EAC">
        <w:rPr>
          <w:rFonts w:ascii="Arial" w:hAnsi="Arial" w:cs="Arial"/>
          <w:szCs w:val="24"/>
          <w:lang w:val="en-US"/>
        </w:rPr>
        <w:t xml:space="preserve">35% of 5-year-old children in Tower Hamlets had one or more </w:t>
      </w:r>
      <w:r w:rsidRPr="00724EAC">
        <w:rPr>
          <w:rFonts w:ascii="Arial" w:hAnsi="Arial" w:cs="Arial"/>
          <w:b/>
          <w:szCs w:val="24"/>
          <w:lang w:val="en-US"/>
        </w:rPr>
        <w:t>decayed tooth</w:t>
      </w:r>
      <w:r w:rsidRPr="00724EAC">
        <w:rPr>
          <w:rFonts w:ascii="Arial" w:hAnsi="Arial" w:cs="Arial"/>
          <w:szCs w:val="24"/>
          <w:lang w:val="en-US"/>
        </w:rPr>
        <w:t xml:space="preserve"> in 2008 </w:t>
      </w:r>
      <w:r>
        <w:rPr>
          <w:rFonts w:ascii="Arial" w:hAnsi="Arial" w:cs="Arial"/>
          <w:szCs w:val="24"/>
          <w:lang w:val="en-US"/>
        </w:rPr>
        <w:t xml:space="preserve">(compared with 29% in London and 28% in England) </w:t>
      </w:r>
      <w:r w:rsidRPr="00724EAC">
        <w:rPr>
          <w:rFonts w:ascii="Arial" w:hAnsi="Arial" w:cs="Arial"/>
          <w:szCs w:val="24"/>
          <w:lang w:val="en-US"/>
        </w:rPr>
        <w:t>and 41% of children had on</w:t>
      </w:r>
      <w:r>
        <w:rPr>
          <w:rFonts w:ascii="Arial" w:hAnsi="Arial" w:cs="Arial"/>
          <w:szCs w:val="24"/>
          <w:lang w:val="en-US"/>
        </w:rPr>
        <w:t>e or more decayed tooth in 2012 (compared with 29% in London 25% in England).</w:t>
      </w:r>
    </w:p>
    <w:p w14:paraId="50EA9E4F" w14:textId="77777777" w:rsidR="008C707E" w:rsidRDefault="008C707E" w:rsidP="008C707E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 xml:space="preserve">47% </w:t>
      </w:r>
      <w:r w:rsidRPr="000A40DD">
        <w:rPr>
          <w:rFonts w:ascii="Arial" w:hAnsi="Arial" w:cs="Arial"/>
          <w:szCs w:val="24"/>
          <w:lang w:val="en-US"/>
        </w:rPr>
        <w:t>of children living in Tower Hamlets aged 17 and under attended a dentist in the preced</w:t>
      </w:r>
      <w:r>
        <w:rPr>
          <w:rFonts w:ascii="Arial" w:hAnsi="Arial" w:cs="Arial"/>
          <w:szCs w:val="24"/>
          <w:lang w:val="en-US"/>
        </w:rPr>
        <w:t xml:space="preserve">ing 24 months in September 2013 (compared with 59% in London and 72% in England). </w:t>
      </w:r>
    </w:p>
    <w:p w14:paraId="53C81F01" w14:textId="77777777" w:rsidR="008C707E" w:rsidRPr="000A40DD" w:rsidRDefault="008C707E" w:rsidP="008C707E">
      <w:pPr>
        <w:widowControl/>
        <w:rPr>
          <w:rFonts w:ascii="Arial" w:hAnsi="Arial" w:cs="Arial"/>
          <w:szCs w:val="24"/>
          <w:lang w:val="en-US"/>
        </w:rPr>
      </w:pPr>
    </w:p>
    <w:p w14:paraId="3F5A4F31" w14:textId="77777777" w:rsidR="008C707E" w:rsidRPr="008C707E" w:rsidRDefault="008C707E" w:rsidP="008C707E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Only 8% of children in Tower Hamlets visited a dentist aged 0-2years, as recommended by NICE, (compared with 13% in London). </w:t>
      </w:r>
    </w:p>
    <w:p w14:paraId="069CDEE0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4B1EE335" w14:textId="77777777" w:rsidR="00182EE5" w:rsidRDefault="00182EE5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7AFF4C0E" w14:textId="77777777" w:rsidR="00083E52" w:rsidRDefault="00083E52" w:rsidP="00083E52">
      <w:pPr>
        <w:widowControl/>
        <w:numPr>
          <w:ilvl w:val="0"/>
          <w:numId w:val="26"/>
        </w:num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Dental health among adults in Tower Hamlets </w:t>
      </w:r>
    </w:p>
    <w:p w14:paraId="2F15B331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6E882D40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4516E7">
        <w:rPr>
          <w:rFonts w:ascii="Arial" w:hAnsi="Arial" w:cs="Arial"/>
          <w:szCs w:val="24"/>
          <w:lang w:val="en-US"/>
        </w:rPr>
        <w:t xml:space="preserve">Average number of </w:t>
      </w:r>
      <w:r w:rsidRPr="004516E7">
        <w:rPr>
          <w:rFonts w:ascii="Arial" w:hAnsi="Arial" w:cs="Arial"/>
          <w:b/>
          <w:szCs w:val="24"/>
          <w:lang w:val="en-US"/>
        </w:rPr>
        <w:t>decayed, missing and filled adult</w:t>
      </w:r>
      <w:r w:rsidRPr="004516E7">
        <w:rPr>
          <w:rFonts w:ascii="Arial" w:hAnsi="Arial" w:cs="Arial"/>
          <w:szCs w:val="24"/>
          <w:lang w:val="en-US"/>
        </w:rPr>
        <w:t xml:space="preserve"> teeth in</w:t>
      </w:r>
      <w:r>
        <w:rPr>
          <w:rFonts w:ascii="Arial" w:hAnsi="Arial" w:cs="Arial"/>
          <w:szCs w:val="24"/>
          <w:lang w:val="en-US"/>
        </w:rPr>
        <w:t xml:space="preserve"> Tower Hamlets (2008) was 6.1. </w:t>
      </w:r>
      <w:r w:rsidRPr="004516E7">
        <w:rPr>
          <w:rFonts w:ascii="Arial" w:hAnsi="Arial" w:cs="Arial"/>
          <w:szCs w:val="24"/>
          <w:lang w:val="en-US"/>
        </w:rPr>
        <w:t xml:space="preserve">This compares </w:t>
      </w:r>
      <w:r>
        <w:rPr>
          <w:rFonts w:ascii="Arial" w:hAnsi="Arial" w:cs="Arial"/>
          <w:szCs w:val="24"/>
          <w:lang w:val="en-US"/>
        </w:rPr>
        <w:t>with</w:t>
      </w:r>
      <w:r w:rsidRPr="004516E7">
        <w:rPr>
          <w:rFonts w:ascii="Arial" w:hAnsi="Arial" w:cs="Arial"/>
          <w:szCs w:val="24"/>
          <w:lang w:val="en-US"/>
        </w:rPr>
        <w:t xml:space="preserve"> 12.2 in London </w:t>
      </w:r>
      <w:r>
        <w:rPr>
          <w:rFonts w:ascii="Arial" w:hAnsi="Arial" w:cs="Arial"/>
          <w:szCs w:val="24"/>
          <w:lang w:val="en-US"/>
        </w:rPr>
        <w:t xml:space="preserve">(2008) </w:t>
      </w:r>
      <w:r w:rsidRPr="004516E7">
        <w:rPr>
          <w:rFonts w:ascii="Arial" w:hAnsi="Arial" w:cs="Arial"/>
          <w:szCs w:val="24"/>
          <w:lang w:val="en-US"/>
        </w:rPr>
        <w:t>and 14</w:t>
      </w:r>
      <w:r>
        <w:rPr>
          <w:rFonts w:ascii="Arial" w:hAnsi="Arial" w:cs="Arial"/>
          <w:szCs w:val="24"/>
          <w:lang w:val="en-US"/>
        </w:rPr>
        <w:t xml:space="preserve"> in England (2008). </w:t>
      </w:r>
    </w:p>
    <w:p w14:paraId="793CD0E8" w14:textId="77777777" w:rsidR="00083E52" w:rsidRDefault="00083E52" w:rsidP="00083E52">
      <w:pPr>
        <w:widowControl/>
        <w:ind w:left="360"/>
        <w:rPr>
          <w:rFonts w:ascii="Arial" w:hAnsi="Arial" w:cs="Arial"/>
          <w:szCs w:val="24"/>
          <w:lang w:val="en-US"/>
        </w:rPr>
      </w:pPr>
    </w:p>
    <w:p w14:paraId="2D273A69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2.4% of adults in Tower Hamlets had </w:t>
      </w:r>
      <w:r w:rsidRPr="004A6409">
        <w:rPr>
          <w:rFonts w:ascii="Arial" w:hAnsi="Arial" w:cs="Arial"/>
          <w:b/>
          <w:szCs w:val="24"/>
          <w:lang w:val="en-US"/>
        </w:rPr>
        <w:t>no natural teeth</w:t>
      </w:r>
      <w:r>
        <w:rPr>
          <w:rFonts w:ascii="Arial" w:hAnsi="Arial" w:cs="Arial"/>
          <w:szCs w:val="24"/>
          <w:lang w:val="en-US"/>
        </w:rPr>
        <w:t xml:space="preserve"> (2008). This compares with 4% in London (2008) and 6% in England (2008).</w:t>
      </w:r>
    </w:p>
    <w:p w14:paraId="54F897CC" w14:textId="77777777" w:rsidR="00083E52" w:rsidRDefault="00083E52" w:rsidP="00083E52">
      <w:pPr>
        <w:widowControl/>
        <w:rPr>
          <w:rFonts w:ascii="Arial" w:hAnsi="Arial" w:cs="Arial"/>
          <w:szCs w:val="24"/>
          <w:lang w:val="en-US"/>
        </w:rPr>
      </w:pPr>
    </w:p>
    <w:p w14:paraId="5FE45C27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92% of Tower Hamlets adults have </w:t>
      </w:r>
      <w:r w:rsidRPr="004A6409">
        <w:rPr>
          <w:rFonts w:ascii="Arial" w:hAnsi="Arial" w:cs="Arial"/>
          <w:b/>
          <w:szCs w:val="24"/>
          <w:lang w:val="en-US"/>
        </w:rPr>
        <w:t>21 or more teeth</w:t>
      </w:r>
      <w:r>
        <w:rPr>
          <w:rFonts w:ascii="Arial" w:hAnsi="Arial" w:cs="Arial"/>
          <w:szCs w:val="24"/>
          <w:lang w:val="en-US"/>
        </w:rPr>
        <w:t xml:space="preserve">. This compares with 91% in London (2008) and 86% in England (2008). </w:t>
      </w:r>
    </w:p>
    <w:p w14:paraId="56B02559" w14:textId="77777777" w:rsidR="00083E52" w:rsidRDefault="00083E52" w:rsidP="00083E52">
      <w:pPr>
        <w:widowControl/>
        <w:rPr>
          <w:rFonts w:ascii="Arial" w:hAnsi="Arial" w:cs="Arial"/>
          <w:szCs w:val="24"/>
          <w:lang w:val="en-US"/>
        </w:rPr>
      </w:pPr>
    </w:p>
    <w:p w14:paraId="3E95B7BA" w14:textId="77777777" w:rsidR="00083E52" w:rsidRP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38%</w:t>
      </w:r>
      <w:r w:rsidRPr="001C68FC">
        <w:rPr>
          <w:rFonts w:ascii="Arial" w:hAnsi="Arial" w:cs="Arial"/>
          <w:szCs w:val="24"/>
          <w:lang w:val="en-US"/>
        </w:rPr>
        <w:t xml:space="preserve"> of adults living in Tower Hamlets attended a dentist in the preceding 24 months in September 2013</w:t>
      </w:r>
      <w:r>
        <w:rPr>
          <w:rFonts w:ascii="Arial" w:hAnsi="Arial" w:cs="Arial"/>
          <w:szCs w:val="24"/>
          <w:lang w:val="en-US"/>
        </w:rPr>
        <w:t xml:space="preserve"> (compared with 44% in London and 55% in England).</w:t>
      </w:r>
    </w:p>
    <w:p w14:paraId="10B61FBB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35EC1583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3D020E7E" w14:textId="77777777" w:rsidR="00083E52" w:rsidRDefault="00083E52" w:rsidP="00083E52">
      <w:pPr>
        <w:widowControl/>
        <w:numPr>
          <w:ilvl w:val="0"/>
          <w:numId w:val="26"/>
        </w:num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Rates of head, neck and oral cancer among adults in Tower Hamlets</w:t>
      </w:r>
    </w:p>
    <w:p w14:paraId="12F2D1B1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08632595" w14:textId="77777777" w:rsidR="00083E52" w:rsidRDefault="00083E52" w:rsidP="00083E52">
      <w:pPr>
        <w:widowControl/>
        <w:numPr>
          <w:ilvl w:val="0"/>
          <w:numId w:val="24"/>
        </w:numPr>
        <w:rPr>
          <w:rFonts w:ascii="Arial" w:hAnsi="Arial" w:cs="Arial"/>
          <w:szCs w:val="24"/>
          <w:lang w:val="en-US"/>
        </w:rPr>
      </w:pPr>
      <w:r w:rsidRPr="000A40DD">
        <w:rPr>
          <w:rFonts w:ascii="Arial" w:hAnsi="Arial" w:cs="Arial"/>
          <w:szCs w:val="24"/>
          <w:lang w:val="en-US"/>
        </w:rPr>
        <w:t xml:space="preserve">There were 123 new cases of </w:t>
      </w:r>
      <w:r w:rsidRPr="000A40DD">
        <w:rPr>
          <w:rFonts w:ascii="Arial" w:hAnsi="Arial" w:cs="Arial"/>
          <w:b/>
          <w:szCs w:val="24"/>
          <w:lang w:val="en-US"/>
        </w:rPr>
        <w:t>head and neck cancer</w:t>
      </w:r>
      <w:r w:rsidRPr="000A40DD">
        <w:rPr>
          <w:rFonts w:ascii="Arial" w:hAnsi="Arial" w:cs="Arial"/>
          <w:szCs w:val="24"/>
          <w:lang w:val="en-US"/>
        </w:rPr>
        <w:t xml:space="preserve"> reported </w:t>
      </w:r>
      <w:r>
        <w:rPr>
          <w:rFonts w:ascii="Arial" w:hAnsi="Arial" w:cs="Arial"/>
          <w:szCs w:val="24"/>
          <w:lang w:val="en-US"/>
        </w:rPr>
        <w:t>in Tower Hamlets between 2000 and 2004.</w:t>
      </w:r>
    </w:p>
    <w:p w14:paraId="5EA57408" w14:textId="77777777" w:rsidR="00083E52" w:rsidRPr="000A40DD" w:rsidRDefault="00083E52" w:rsidP="00083E52">
      <w:pPr>
        <w:widowControl/>
        <w:rPr>
          <w:rFonts w:ascii="Arial" w:hAnsi="Arial" w:cs="Arial"/>
          <w:szCs w:val="24"/>
          <w:lang w:val="en-US"/>
        </w:rPr>
      </w:pPr>
    </w:p>
    <w:p w14:paraId="0C614BDF" w14:textId="77777777" w:rsidR="00083E52" w:rsidRPr="00A73AC3" w:rsidRDefault="00083E52" w:rsidP="00083E52">
      <w:pPr>
        <w:widowControl/>
        <w:numPr>
          <w:ilvl w:val="0"/>
          <w:numId w:val="24"/>
        </w:numPr>
        <w:outlineLvl w:val="0"/>
        <w:rPr>
          <w:rFonts w:ascii="Arial" w:hAnsi="Arial" w:cs="Arial"/>
          <w:b/>
          <w:color w:val="000000" w:themeColor="text1"/>
          <w:szCs w:val="24"/>
        </w:rPr>
      </w:pPr>
      <w:r w:rsidRPr="00A73AC3">
        <w:rPr>
          <w:rFonts w:ascii="Arial" w:hAnsi="Arial" w:cs="Arial"/>
          <w:color w:val="000000" w:themeColor="text1"/>
          <w:szCs w:val="24"/>
          <w:lang w:val="en-US"/>
        </w:rPr>
        <w:t xml:space="preserve">Tower Hamlets had 20.6 </w:t>
      </w:r>
      <w:r w:rsidRPr="00A73AC3">
        <w:rPr>
          <w:rFonts w:ascii="Arial" w:hAnsi="Arial" w:cs="Arial"/>
          <w:b/>
          <w:color w:val="000000" w:themeColor="text1"/>
          <w:szCs w:val="24"/>
          <w:lang w:val="en-US"/>
        </w:rPr>
        <w:t>oral cancer</w:t>
      </w:r>
      <w:r w:rsidRPr="00A73AC3">
        <w:rPr>
          <w:rFonts w:ascii="Arial" w:hAnsi="Arial" w:cs="Arial"/>
          <w:color w:val="000000" w:themeColor="text1"/>
          <w:szCs w:val="24"/>
          <w:lang w:val="en-US"/>
        </w:rPr>
        <w:t xml:space="preserve"> registrations per 100,000 </w:t>
      </w:r>
      <w:proofErr w:type="gramStart"/>
      <w:r w:rsidRPr="00A73AC3">
        <w:rPr>
          <w:rFonts w:ascii="Arial" w:hAnsi="Arial" w:cs="Arial"/>
          <w:color w:val="000000" w:themeColor="text1"/>
          <w:szCs w:val="24"/>
          <w:lang w:val="en-US"/>
        </w:rPr>
        <w:t>population</w:t>
      </w:r>
      <w:proofErr w:type="gramEnd"/>
      <w:r w:rsidRPr="00A73AC3">
        <w:rPr>
          <w:rFonts w:ascii="Arial" w:hAnsi="Arial" w:cs="Arial"/>
          <w:color w:val="000000" w:themeColor="text1"/>
          <w:szCs w:val="24"/>
          <w:lang w:val="en-US"/>
        </w:rPr>
        <w:t xml:space="preserve"> in 2009-11. </w:t>
      </w:r>
      <w:r w:rsidR="00A73AC3" w:rsidRPr="00A73AC3">
        <w:rPr>
          <w:rFonts w:ascii="Arial" w:hAnsi="Arial" w:cs="Arial"/>
          <w:color w:val="000000" w:themeColor="text1"/>
          <w:szCs w:val="24"/>
          <w:lang w:val="en-US"/>
        </w:rPr>
        <w:t xml:space="preserve">This compares with </w:t>
      </w:r>
      <w:r w:rsidR="008150BB" w:rsidRPr="00A73AC3">
        <w:rPr>
          <w:rFonts w:ascii="Arial" w:hAnsi="Arial" w:cs="Arial"/>
          <w:color w:val="000000" w:themeColor="text1"/>
          <w:szCs w:val="24"/>
        </w:rPr>
        <w:t>13.2 oral cancer registrations per 100,000 population in London and 12.8 per 100,000 in England (Local Tobacco Profiles)</w:t>
      </w:r>
      <w:r w:rsidR="009A2FB3">
        <w:rPr>
          <w:rFonts w:ascii="Arial" w:hAnsi="Arial" w:cs="Arial"/>
          <w:color w:val="000000" w:themeColor="text1"/>
          <w:szCs w:val="24"/>
        </w:rPr>
        <w:t>.</w:t>
      </w:r>
    </w:p>
    <w:p w14:paraId="0BA8723F" w14:textId="77777777" w:rsidR="00083E52" w:rsidRDefault="00083E52" w:rsidP="00083E52">
      <w:pPr>
        <w:widowControl/>
        <w:outlineLvl w:val="0"/>
        <w:rPr>
          <w:rFonts w:ascii="Arial" w:hAnsi="Arial" w:cs="Arial"/>
          <w:b/>
          <w:szCs w:val="24"/>
        </w:rPr>
      </w:pPr>
    </w:p>
    <w:p w14:paraId="58339242" w14:textId="77777777" w:rsidR="004A6409" w:rsidRPr="00083E52" w:rsidRDefault="004A6409" w:rsidP="00083E52">
      <w:pPr>
        <w:widowControl/>
        <w:rPr>
          <w:rFonts w:ascii="Arial" w:hAnsi="Arial" w:cs="Arial"/>
          <w:szCs w:val="24"/>
          <w:lang w:val="en-US"/>
        </w:rPr>
      </w:pPr>
    </w:p>
    <w:p w14:paraId="4D7ED0BB" w14:textId="77777777" w:rsidR="001C68FC" w:rsidRPr="00083E52" w:rsidRDefault="001C68FC" w:rsidP="00083E52">
      <w:pPr>
        <w:widowControl/>
        <w:rPr>
          <w:rFonts w:ascii="Arial" w:hAnsi="Arial" w:cs="Arial"/>
          <w:szCs w:val="24"/>
          <w:lang w:val="en-US"/>
        </w:rPr>
      </w:pPr>
    </w:p>
    <w:p w14:paraId="151A7F36" w14:textId="77777777" w:rsidR="004A6409" w:rsidRPr="004516E7" w:rsidRDefault="004A6409" w:rsidP="004A6409">
      <w:pPr>
        <w:widowControl/>
        <w:rPr>
          <w:rFonts w:ascii="Arial" w:hAnsi="Arial" w:cs="Arial"/>
          <w:szCs w:val="24"/>
          <w:lang w:val="en-US"/>
        </w:rPr>
      </w:pPr>
    </w:p>
    <w:p w14:paraId="348EF5F6" w14:textId="77777777" w:rsidR="00394129" w:rsidRDefault="00394129" w:rsidP="00394129">
      <w:pPr>
        <w:widowControl/>
        <w:rPr>
          <w:rFonts w:ascii="Arial" w:hAnsi="Arial" w:cs="Arial"/>
          <w:szCs w:val="24"/>
          <w:lang w:val="en-US"/>
        </w:rPr>
      </w:pPr>
    </w:p>
    <w:p w14:paraId="6B7EB2CF" w14:textId="77777777" w:rsidR="00394129" w:rsidRDefault="00394129" w:rsidP="00394129">
      <w:pPr>
        <w:widowControl/>
        <w:rPr>
          <w:rFonts w:ascii="Arial" w:hAnsi="Arial" w:cs="Arial"/>
          <w:szCs w:val="24"/>
          <w:lang w:val="en-US"/>
        </w:rPr>
      </w:pPr>
    </w:p>
    <w:p w14:paraId="769EA43C" w14:textId="77777777" w:rsidR="00394129" w:rsidRPr="00642342" w:rsidRDefault="00394129" w:rsidP="00394129">
      <w:pPr>
        <w:widowControl/>
        <w:rPr>
          <w:rFonts w:ascii="Arial" w:hAnsi="Arial" w:cs="Arial"/>
          <w:szCs w:val="24"/>
          <w:lang w:val="en-US"/>
        </w:rPr>
      </w:pPr>
    </w:p>
    <w:p w14:paraId="3F0F8782" w14:textId="77777777" w:rsidR="00642342" w:rsidRPr="00642342" w:rsidRDefault="00642342" w:rsidP="00642342">
      <w:pPr>
        <w:widowControl/>
        <w:rPr>
          <w:rFonts w:ascii="Arial" w:hAnsi="Arial" w:cs="Arial"/>
          <w:szCs w:val="24"/>
          <w:lang w:val="en-US"/>
        </w:rPr>
      </w:pPr>
    </w:p>
    <w:p w14:paraId="51CE6DDA" w14:textId="77777777" w:rsidR="00642342" w:rsidRPr="00642342" w:rsidRDefault="00642342" w:rsidP="00642342">
      <w:pPr>
        <w:widowControl/>
        <w:rPr>
          <w:rFonts w:ascii="Arial" w:hAnsi="Arial" w:cs="Arial"/>
          <w:szCs w:val="24"/>
          <w:lang w:val="en-US"/>
        </w:rPr>
      </w:pPr>
    </w:p>
    <w:p w14:paraId="7759260C" w14:textId="77777777" w:rsidR="00642342" w:rsidRPr="00D86669" w:rsidRDefault="00642342" w:rsidP="00642342">
      <w:pPr>
        <w:widowControl/>
        <w:rPr>
          <w:rFonts w:ascii="Arial" w:hAnsi="Arial" w:cs="Arial"/>
          <w:szCs w:val="24"/>
          <w:lang w:val="en-US"/>
        </w:rPr>
      </w:pPr>
    </w:p>
    <w:p w14:paraId="3215A31B" w14:textId="77777777" w:rsidR="00F66E1D" w:rsidRPr="00D86669" w:rsidRDefault="00F66E1D" w:rsidP="00F66E1D">
      <w:pPr>
        <w:widowControl/>
        <w:outlineLvl w:val="0"/>
        <w:rPr>
          <w:rFonts w:ascii="Arial" w:hAnsi="Arial" w:cs="Arial"/>
          <w:b/>
          <w:szCs w:val="24"/>
        </w:rPr>
      </w:pPr>
    </w:p>
    <w:p w14:paraId="031F0952" w14:textId="77777777" w:rsidR="00642342" w:rsidRDefault="00642342">
      <w:pPr>
        <w:rPr>
          <w:sz w:val="20"/>
        </w:rPr>
      </w:pPr>
    </w:p>
    <w:sectPr w:rsidR="00642342" w:rsidSect="00B93200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454" w:right="567" w:bottom="454" w:left="567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6F589" w14:textId="77777777" w:rsidR="00A73AC3" w:rsidRDefault="00A73AC3">
      <w:r>
        <w:separator/>
      </w:r>
    </w:p>
  </w:endnote>
  <w:endnote w:type="continuationSeparator" w:id="0">
    <w:p w14:paraId="16A76AFB" w14:textId="77777777" w:rsidR="00A73AC3" w:rsidRDefault="00A7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HT Logo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3D5C" w14:textId="77777777" w:rsidR="00A73AC3" w:rsidRDefault="00A73AC3" w:rsidP="00315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9F133" w14:textId="77777777" w:rsidR="00A73AC3" w:rsidRDefault="00A73AC3" w:rsidP="00E33B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50A7" w14:textId="77777777" w:rsidR="00A73AC3" w:rsidRPr="00083E52" w:rsidRDefault="00A73AC3" w:rsidP="00315561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83E52">
      <w:rPr>
        <w:rStyle w:val="PageNumber"/>
        <w:rFonts w:ascii="Arial" w:hAnsi="Arial" w:cs="Arial"/>
      </w:rPr>
      <w:fldChar w:fldCharType="begin"/>
    </w:r>
    <w:r w:rsidRPr="00083E52">
      <w:rPr>
        <w:rStyle w:val="PageNumber"/>
        <w:rFonts w:ascii="Arial" w:hAnsi="Arial" w:cs="Arial"/>
      </w:rPr>
      <w:instrText xml:space="preserve">PAGE  </w:instrText>
    </w:r>
    <w:r w:rsidRPr="00083E52">
      <w:rPr>
        <w:rStyle w:val="PageNumber"/>
        <w:rFonts w:ascii="Arial" w:hAnsi="Arial" w:cs="Arial"/>
      </w:rPr>
      <w:fldChar w:fldCharType="separate"/>
    </w:r>
    <w:r w:rsidR="007C45F6">
      <w:rPr>
        <w:rStyle w:val="PageNumber"/>
        <w:rFonts w:ascii="Arial" w:hAnsi="Arial" w:cs="Arial"/>
        <w:noProof/>
      </w:rPr>
      <w:t>3</w:t>
    </w:r>
    <w:r w:rsidRPr="00083E52">
      <w:rPr>
        <w:rStyle w:val="PageNumber"/>
        <w:rFonts w:ascii="Arial" w:hAnsi="Arial" w:cs="Arial"/>
      </w:rPr>
      <w:fldChar w:fldCharType="end"/>
    </w:r>
  </w:p>
  <w:p w14:paraId="6F64E4BE" w14:textId="77777777" w:rsidR="00A73AC3" w:rsidRDefault="00A73AC3" w:rsidP="00B93200">
    <w:pPr>
      <w:pStyle w:val="Footer"/>
      <w:ind w:right="360"/>
      <w:jc w:val="cen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5F5D40" wp14:editId="26892410">
              <wp:simplePos x="0" y="0"/>
              <wp:positionH relativeFrom="column">
                <wp:posOffset>-257175</wp:posOffset>
              </wp:positionH>
              <wp:positionV relativeFrom="paragraph">
                <wp:posOffset>-525145</wp:posOffset>
              </wp:positionV>
              <wp:extent cx="549275" cy="640715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27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4FAF3E" w14:textId="77777777" w:rsidR="00A73AC3" w:rsidRDefault="00A73AC3">
                          <w:pPr>
                            <w:jc w:val="right"/>
                            <w:rPr>
                              <w:rFonts w:ascii="RHT Logo" w:hAnsi="RHT Logo"/>
                              <w:sz w:val="1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0.25pt;margin-top:-41.35pt;width:43.2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" o:allowincell="f" filled="f" stroked="f" strokeweight="0">
              <v:textbox inset="0,0,0,0">
                <w:txbxContent>
                  <w:p w:rsidR="0078697C" w:rsidRDefault="0078697C">
                    <w:pPr>
                      <w:jc w:val="right"/>
                      <w:rPr>
                        <w:rFonts w:ascii="RHT Logo" w:hAnsi="RHT Logo"/>
                        <w:sz w:val="14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AE750" w14:textId="77777777" w:rsidR="00A73AC3" w:rsidRDefault="00A73AC3">
      <w:r>
        <w:separator/>
      </w:r>
    </w:p>
  </w:footnote>
  <w:footnote w:type="continuationSeparator" w:id="0">
    <w:p w14:paraId="54FC3AEE" w14:textId="77777777" w:rsidR="00A73AC3" w:rsidRDefault="00A73AC3">
      <w:r>
        <w:continuationSeparator/>
      </w:r>
    </w:p>
  </w:footnote>
  <w:footnote w:id="1">
    <w:p w14:paraId="778E3A82" w14:textId="77777777" w:rsidR="00A73AC3" w:rsidRPr="008F2A4C" w:rsidRDefault="00A73AC3" w:rsidP="00083E5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F2A4C">
        <w:rPr>
          <w:rStyle w:val="FootnoteReference"/>
          <w:rFonts w:ascii="Arial" w:hAnsi="Arial" w:cs="Arial"/>
          <w:sz w:val="18"/>
          <w:szCs w:val="18"/>
        </w:rPr>
        <w:footnoteRef/>
      </w:r>
      <w:r w:rsidRPr="008F2A4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F2A4C">
        <w:rPr>
          <w:rFonts w:ascii="Arial" w:hAnsi="Arial" w:cs="Arial"/>
          <w:sz w:val="18"/>
          <w:szCs w:val="18"/>
          <w:lang w:val="en-US"/>
        </w:rPr>
        <w:t>BME definition based on Audit commission definition of all ethnic groups excluding White British persons.</w:t>
      </w:r>
      <w:proofErr w:type="gramEnd"/>
      <w:r w:rsidRPr="008F2A4C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8F2A4C">
        <w:rPr>
          <w:rFonts w:ascii="Arial" w:hAnsi="Arial" w:cs="Arial"/>
          <w:sz w:val="18"/>
          <w:szCs w:val="18"/>
          <w:lang w:val="en-US"/>
        </w:rPr>
        <w:t>Office for National Statistics.</w:t>
      </w:r>
      <w:proofErr w:type="gramEnd"/>
      <w:r w:rsidRPr="008F2A4C">
        <w:rPr>
          <w:rFonts w:ascii="Arial" w:hAnsi="Arial" w:cs="Arial"/>
          <w:sz w:val="18"/>
          <w:szCs w:val="18"/>
          <w:lang w:val="en-US"/>
        </w:rPr>
        <w:t xml:space="preserve"> 2011 Census: Key Statistics and Quick Statistics for local authorities in the United Kingdom. </w:t>
      </w:r>
      <w:proofErr w:type="gramStart"/>
      <w:r w:rsidRPr="008F2A4C">
        <w:rPr>
          <w:rFonts w:ascii="Arial" w:hAnsi="Arial" w:cs="Arial"/>
          <w:sz w:val="18"/>
          <w:szCs w:val="18"/>
          <w:lang w:val="en-US"/>
        </w:rPr>
        <w:t>Ethnic group, local authorities in England and Wales (KS201EW).</w:t>
      </w:r>
      <w:proofErr w:type="gramEnd"/>
      <w:r w:rsidRPr="008F2A4C">
        <w:rPr>
          <w:rFonts w:ascii="Arial" w:hAnsi="Arial" w:cs="Arial"/>
          <w:sz w:val="18"/>
          <w:szCs w:val="18"/>
          <w:lang w:val="en-US"/>
        </w:rPr>
        <w:t xml:space="preserve"> United Kingdom. 2011.</w:t>
      </w:r>
    </w:p>
  </w:footnote>
  <w:footnote w:id="2">
    <w:p w14:paraId="266785DD" w14:textId="77777777" w:rsidR="00A73AC3" w:rsidRPr="008F2A4C" w:rsidRDefault="00A73AC3" w:rsidP="00083E52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8F2A4C">
        <w:rPr>
          <w:rStyle w:val="FootnoteReference"/>
          <w:rFonts w:ascii="Arial" w:hAnsi="Arial" w:cs="Arial"/>
          <w:sz w:val="18"/>
          <w:szCs w:val="18"/>
        </w:rPr>
        <w:footnoteRef/>
      </w:r>
      <w:r w:rsidRPr="008F2A4C">
        <w:rPr>
          <w:rFonts w:ascii="Arial" w:hAnsi="Arial" w:cs="Arial"/>
          <w:sz w:val="18"/>
          <w:szCs w:val="18"/>
        </w:rPr>
        <w:t xml:space="preserve"> Index of Multiple Deprivation 2010: The English Indices of Deprivation 2010; https://www.gov.uk/government/publications/english- indices-of-deprivation-2010</w:t>
      </w:r>
    </w:p>
  </w:footnote>
  <w:footnote w:id="3">
    <w:p w14:paraId="6C8733D8" w14:textId="77777777" w:rsidR="00A73AC3" w:rsidRPr="008F2A4C" w:rsidRDefault="00A73AC3" w:rsidP="00083E5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F2A4C">
        <w:rPr>
          <w:rStyle w:val="FootnoteReference"/>
          <w:rFonts w:ascii="Arial" w:hAnsi="Arial" w:cs="Arial"/>
          <w:sz w:val="18"/>
          <w:szCs w:val="18"/>
        </w:rPr>
        <w:footnoteRef/>
      </w:r>
      <w:r w:rsidRPr="008F2A4C">
        <w:rPr>
          <w:rFonts w:ascii="Arial" w:hAnsi="Arial" w:cs="Arial"/>
          <w:sz w:val="18"/>
          <w:szCs w:val="18"/>
        </w:rPr>
        <w:t xml:space="preserve"> </w:t>
      </w:r>
      <w:r w:rsidRPr="008F2A4C">
        <w:rPr>
          <w:rFonts w:ascii="Arial" w:hAnsi="Arial" w:cs="Arial"/>
          <w:sz w:val="18"/>
          <w:szCs w:val="18"/>
          <w:lang w:val="en-US"/>
        </w:rPr>
        <w:t>Percentage of children (under 16) in families receiving means-tested benefits &amp; low income</w:t>
      </w:r>
      <w:proofErr w:type="gramStart"/>
      <w:r w:rsidRPr="008F2A4C">
        <w:rPr>
          <w:rFonts w:ascii="Arial" w:hAnsi="Arial" w:cs="Arial"/>
          <w:sz w:val="18"/>
          <w:szCs w:val="18"/>
          <w:lang w:val="en-US"/>
        </w:rPr>
        <w:t>,2010</w:t>
      </w:r>
      <w:proofErr w:type="gramEnd"/>
      <w:r w:rsidRPr="008F2A4C">
        <w:rPr>
          <w:rFonts w:ascii="Arial" w:hAnsi="Arial" w:cs="Arial"/>
          <w:sz w:val="18"/>
          <w:szCs w:val="18"/>
          <w:lang w:val="en-US"/>
        </w:rPr>
        <w:t>.</w:t>
      </w:r>
    </w:p>
  </w:footnote>
  <w:footnote w:id="4">
    <w:p w14:paraId="19DCC707" w14:textId="77777777" w:rsidR="00A73AC3" w:rsidRPr="003B11F2" w:rsidRDefault="00A73AC3" w:rsidP="00083E5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F2A4C">
        <w:rPr>
          <w:rStyle w:val="FootnoteReference"/>
          <w:rFonts w:ascii="Arial" w:hAnsi="Arial" w:cs="Arial"/>
          <w:sz w:val="18"/>
          <w:szCs w:val="18"/>
        </w:rPr>
        <w:footnoteRef/>
      </w:r>
      <w:r w:rsidRPr="008F2A4C">
        <w:rPr>
          <w:rFonts w:ascii="Arial" w:hAnsi="Arial" w:cs="Arial"/>
          <w:sz w:val="18"/>
          <w:szCs w:val="18"/>
        </w:rPr>
        <w:t xml:space="preserve"> </w:t>
      </w:r>
      <w:r w:rsidRPr="008F2A4C">
        <w:rPr>
          <w:rFonts w:ascii="Arial" w:hAnsi="Arial" w:cs="Arial"/>
          <w:sz w:val="18"/>
          <w:szCs w:val="18"/>
          <w:lang w:val="en-US"/>
        </w:rPr>
        <w:t xml:space="preserve">Percentage of adults eating 5 or more portions of fruit and vegetables per day </w:t>
      </w:r>
      <w:proofErr w:type="spellStart"/>
      <w:r w:rsidRPr="008F2A4C">
        <w:rPr>
          <w:rFonts w:ascii="Arial" w:hAnsi="Arial" w:cs="Arial"/>
          <w:sz w:val="18"/>
          <w:szCs w:val="18"/>
          <w:lang w:val="en-US"/>
        </w:rPr>
        <w:t>modelled</w:t>
      </w:r>
      <w:proofErr w:type="spellEnd"/>
      <w:r w:rsidRPr="008F2A4C">
        <w:rPr>
          <w:rFonts w:ascii="Arial" w:hAnsi="Arial" w:cs="Arial"/>
          <w:sz w:val="18"/>
          <w:szCs w:val="18"/>
          <w:lang w:val="en-US"/>
        </w:rPr>
        <w:t xml:space="preserve"> estimate using Health Survey for England 2006-2008</w:t>
      </w:r>
    </w:p>
  </w:footnote>
  <w:footnote w:id="5">
    <w:p w14:paraId="45CC1E33" w14:textId="77777777" w:rsidR="00A73AC3" w:rsidRPr="008F2A4C" w:rsidRDefault="00A73AC3" w:rsidP="00083E5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F2A4C">
        <w:rPr>
          <w:rStyle w:val="FootnoteReference"/>
          <w:rFonts w:ascii="Arial" w:hAnsi="Arial" w:cs="Arial"/>
          <w:sz w:val="18"/>
          <w:szCs w:val="18"/>
        </w:rPr>
        <w:footnoteRef/>
      </w:r>
      <w:r w:rsidRPr="008F2A4C">
        <w:rPr>
          <w:rFonts w:ascii="Arial" w:hAnsi="Arial" w:cs="Arial"/>
          <w:sz w:val="18"/>
          <w:szCs w:val="18"/>
        </w:rPr>
        <w:t xml:space="preserve"> </w:t>
      </w:r>
      <w:r w:rsidRPr="008F2A4C">
        <w:rPr>
          <w:rFonts w:ascii="Arial" w:hAnsi="Arial" w:cs="Arial"/>
          <w:sz w:val="18"/>
          <w:szCs w:val="18"/>
          <w:lang w:val="en-US"/>
        </w:rPr>
        <w:t>Percentage of adults achieving at least 150 minutes of physical activity per week</w:t>
      </w:r>
    </w:p>
  </w:footnote>
  <w:footnote w:id="6">
    <w:p w14:paraId="42AF6F62" w14:textId="77777777" w:rsidR="00A73AC3" w:rsidRPr="008F2A4C" w:rsidRDefault="00A73AC3" w:rsidP="00083E52">
      <w:pPr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  <w:lang w:val="en-US"/>
        </w:rPr>
      </w:pPr>
      <w:r w:rsidRPr="008F2A4C">
        <w:rPr>
          <w:rStyle w:val="FootnoteReference"/>
          <w:rFonts w:ascii="Arial" w:hAnsi="Arial" w:cs="Arial"/>
          <w:sz w:val="18"/>
          <w:szCs w:val="18"/>
        </w:rPr>
        <w:footnoteRef/>
      </w:r>
      <w:r w:rsidRPr="008F2A4C">
        <w:rPr>
          <w:rFonts w:ascii="Arial" w:hAnsi="Arial" w:cs="Arial"/>
          <w:sz w:val="18"/>
          <w:szCs w:val="18"/>
        </w:rPr>
        <w:t xml:space="preserve"> </w:t>
      </w:r>
      <w:r w:rsidRPr="008F2A4C">
        <w:rPr>
          <w:rFonts w:ascii="Arial" w:hAnsi="Arial" w:cs="Arial"/>
          <w:sz w:val="18"/>
          <w:szCs w:val="18"/>
          <w:lang w:val="en-US"/>
        </w:rPr>
        <w:t>Percentage of obese school children in Year 6 (age 10-11), and in the reception year 2012/13 National Child Measurement Programme (NCMP) Local Authority Profile: http://fingertips.phe.org.uk/profile/national-child-measurement-programme/data#gid/8000011/pat/6/ati/102/page/3/par/E12000007/are/E09000002</w:t>
      </w:r>
    </w:p>
  </w:footnote>
  <w:footnote w:id="7">
    <w:p w14:paraId="5F50C8CF" w14:textId="77777777" w:rsidR="00A73AC3" w:rsidRPr="00394129" w:rsidRDefault="00A73AC3" w:rsidP="009A2FB3">
      <w:pPr>
        <w:autoSpaceDE w:val="0"/>
        <w:autoSpaceDN w:val="0"/>
        <w:adjustRightInd w:val="0"/>
        <w:spacing w:after="240"/>
        <w:rPr>
          <w:lang w:val="en-US"/>
        </w:rPr>
      </w:pPr>
      <w:r w:rsidRPr="008F2A4C">
        <w:rPr>
          <w:rStyle w:val="FootnoteReference"/>
          <w:rFonts w:ascii="Arial" w:hAnsi="Arial" w:cs="Arial"/>
          <w:sz w:val="18"/>
          <w:szCs w:val="18"/>
        </w:rPr>
        <w:footnoteRef/>
      </w:r>
      <w:r w:rsidRPr="008F2A4C">
        <w:rPr>
          <w:rFonts w:ascii="Arial" w:hAnsi="Arial" w:cs="Arial"/>
          <w:sz w:val="18"/>
          <w:szCs w:val="18"/>
        </w:rPr>
        <w:t xml:space="preserve"> </w:t>
      </w:r>
      <w:r w:rsidRPr="008F2A4C">
        <w:rPr>
          <w:rFonts w:ascii="Arial" w:hAnsi="Arial" w:cs="Arial"/>
          <w:sz w:val="18"/>
          <w:szCs w:val="18"/>
          <w:lang w:val="en-US"/>
        </w:rPr>
        <w:t xml:space="preserve">Percentage of adults classified as obese </w:t>
      </w:r>
      <w:proofErr w:type="spellStart"/>
      <w:r w:rsidRPr="008F2A4C">
        <w:rPr>
          <w:rFonts w:ascii="Arial" w:hAnsi="Arial" w:cs="Arial"/>
          <w:sz w:val="18"/>
          <w:szCs w:val="18"/>
          <w:lang w:val="en-US"/>
        </w:rPr>
        <w:t>modelled</w:t>
      </w:r>
      <w:proofErr w:type="spellEnd"/>
      <w:r w:rsidRPr="008F2A4C">
        <w:rPr>
          <w:rFonts w:ascii="Arial" w:hAnsi="Arial" w:cs="Arial"/>
          <w:sz w:val="18"/>
          <w:szCs w:val="18"/>
          <w:lang w:val="en-US"/>
        </w:rPr>
        <w:t xml:space="preserve"> estimate using Health Survey for England 2006-2008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DCF5" w14:textId="77777777" w:rsidR="00A73AC3" w:rsidRDefault="00A73AC3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6C30" w14:textId="77777777" w:rsidR="00A73AC3" w:rsidRDefault="00A73AC3">
    <w:pPr>
      <w:pStyle w:val="Header"/>
      <w:jc w:val="right"/>
      <w:rPr>
        <w:sz w:val="72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76393C0C" wp14:editId="0CC18815">
          <wp:simplePos x="0" y="0"/>
          <wp:positionH relativeFrom="column">
            <wp:posOffset>3368040</wp:posOffset>
          </wp:positionH>
          <wp:positionV relativeFrom="paragraph">
            <wp:posOffset>-29845</wp:posOffset>
          </wp:positionV>
          <wp:extent cx="3000375" cy="476250"/>
          <wp:effectExtent l="0" t="0" r="9525" b="0"/>
          <wp:wrapNone/>
          <wp:docPr id="7" name="Picture 7" descr="b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F2B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3279C"/>
    <w:multiLevelType w:val="hybridMultilevel"/>
    <w:tmpl w:val="7938D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0D36"/>
    <w:multiLevelType w:val="hybridMultilevel"/>
    <w:tmpl w:val="E14A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8425B"/>
    <w:multiLevelType w:val="hybridMultilevel"/>
    <w:tmpl w:val="3F26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31A72"/>
    <w:multiLevelType w:val="hybridMultilevel"/>
    <w:tmpl w:val="94341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A4CD5"/>
    <w:multiLevelType w:val="hybridMultilevel"/>
    <w:tmpl w:val="F8AC77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67D12"/>
    <w:multiLevelType w:val="hybridMultilevel"/>
    <w:tmpl w:val="5CF0F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301EE5"/>
    <w:multiLevelType w:val="hybridMultilevel"/>
    <w:tmpl w:val="C92EA28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C1592"/>
    <w:multiLevelType w:val="hybridMultilevel"/>
    <w:tmpl w:val="58AC3C6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AB92881"/>
    <w:multiLevelType w:val="hybridMultilevel"/>
    <w:tmpl w:val="47866D4E"/>
    <w:lvl w:ilvl="0" w:tplc="BA90D8DA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A740B"/>
    <w:multiLevelType w:val="hybridMultilevel"/>
    <w:tmpl w:val="540E2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92A77"/>
    <w:multiLevelType w:val="hybridMultilevel"/>
    <w:tmpl w:val="B19651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EB2F12"/>
    <w:multiLevelType w:val="hybridMultilevel"/>
    <w:tmpl w:val="F0FC8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10EE5"/>
    <w:multiLevelType w:val="hybridMultilevel"/>
    <w:tmpl w:val="6D6AF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A4448"/>
    <w:multiLevelType w:val="multilevel"/>
    <w:tmpl w:val="9B3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291182"/>
    <w:multiLevelType w:val="multilevel"/>
    <w:tmpl w:val="5CF0F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8C2AED"/>
    <w:multiLevelType w:val="multilevel"/>
    <w:tmpl w:val="5BDEC5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FB0FB3"/>
    <w:multiLevelType w:val="hybridMultilevel"/>
    <w:tmpl w:val="01D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0088A"/>
    <w:multiLevelType w:val="hybridMultilevel"/>
    <w:tmpl w:val="6186CB26"/>
    <w:lvl w:ilvl="0" w:tplc="6BA89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900F6"/>
    <w:multiLevelType w:val="hybridMultilevel"/>
    <w:tmpl w:val="363AA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23774D"/>
    <w:multiLevelType w:val="hybridMultilevel"/>
    <w:tmpl w:val="E3B4F64A"/>
    <w:lvl w:ilvl="0" w:tplc="E56E2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A72B8"/>
    <w:multiLevelType w:val="hybridMultilevel"/>
    <w:tmpl w:val="994EE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7218E"/>
    <w:multiLevelType w:val="multilevel"/>
    <w:tmpl w:val="9B3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020FD8"/>
    <w:multiLevelType w:val="hybridMultilevel"/>
    <w:tmpl w:val="1186A6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D36D98"/>
    <w:multiLevelType w:val="hybridMultilevel"/>
    <w:tmpl w:val="5BDEC5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C52831"/>
    <w:multiLevelType w:val="hybridMultilevel"/>
    <w:tmpl w:val="357EB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17"/>
  </w:num>
  <w:num w:numId="5">
    <w:abstractNumId w:val="24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5"/>
  </w:num>
  <w:num w:numId="12">
    <w:abstractNumId w:val="23"/>
  </w:num>
  <w:num w:numId="13">
    <w:abstractNumId w:val="2"/>
  </w:num>
  <w:num w:numId="14">
    <w:abstractNumId w:val="6"/>
  </w:num>
  <w:num w:numId="15">
    <w:abstractNumId w:val="3"/>
  </w:num>
  <w:num w:numId="16">
    <w:abstractNumId w:val="26"/>
  </w:num>
  <w:num w:numId="17">
    <w:abstractNumId w:val="20"/>
  </w:num>
  <w:num w:numId="18">
    <w:abstractNumId w:val="21"/>
  </w:num>
  <w:num w:numId="19">
    <w:abstractNumId w:val="19"/>
  </w:num>
  <w:num w:numId="20">
    <w:abstractNumId w:val="22"/>
  </w:num>
  <w:num w:numId="21">
    <w:abstractNumId w:val="8"/>
  </w:num>
  <w:num w:numId="22">
    <w:abstractNumId w:val="9"/>
  </w:num>
  <w:num w:numId="23">
    <w:abstractNumId w:val="0"/>
  </w:num>
  <w:num w:numId="24">
    <w:abstractNumId w:val="13"/>
  </w:num>
  <w:num w:numId="25">
    <w:abstractNumId w:val="1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9"/>
    <w:rsid w:val="000001D9"/>
    <w:rsid w:val="00001A18"/>
    <w:rsid w:val="00006B07"/>
    <w:rsid w:val="00014DAB"/>
    <w:rsid w:val="000203A6"/>
    <w:rsid w:val="00036B14"/>
    <w:rsid w:val="000450D3"/>
    <w:rsid w:val="0004670B"/>
    <w:rsid w:val="00046F29"/>
    <w:rsid w:val="00051039"/>
    <w:rsid w:val="00053CE2"/>
    <w:rsid w:val="00065F71"/>
    <w:rsid w:val="000808D4"/>
    <w:rsid w:val="0008310F"/>
    <w:rsid w:val="00083E52"/>
    <w:rsid w:val="000916F8"/>
    <w:rsid w:val="00094BB7"/>
    <w:rsid w:val="000A40DD"/>
    <w:rsid w:val="000B36BF"/>
    <w:rsid w:val="000C3BCE"/>
    <w:rsid w:val="000D38CE"/>
    <w:rsid w:val="000E5BC1"/>
    <w:rsid w:val="000E62F7"/>
    <w:rsid w:val="000F05CB"/>
    <w:rsid w:val="000F42F4"/>
    <w:rsid w:val="001122A5"/>
    <w:rsid w:val="00113808"/>
    <w:rsid w:val="00120CA6"/>
    <w:rsid w:val="00124FF6"/>
    <w:rsid w:val="00133419"/>
    <w:rsid w:val="00135694"/>
    <w:rsid w:val="00136F54"/>
    <w:rsid w:val="00137C8F"/>
    <w:rsid w:val="0014236D"/>
    <w:rsid w:val="00156393"/>
    <w:rsid w:val="0016017A"/>
    <w:rsid w:val="001607F1"/>
    <w:rsid w:val="00164ED8"/>
    <w:rsid w:val="00165EAA"/>
    <w:rsid w:val="00182EE5"/>
    <w:rsid w:val="0019073A"/>
    <w:rsid w:val="001979CA"/>
    <w:rsid w:val="001A1D67"/>
    <w:rsid w:val="001A30AC"/>
    <w:rsid w:val="001A73F4"/>
    <w:rsid w:val="001B2DB3"/>
    <w:rsid w:val="001B4CCB"/>
    <w:rsid w:val="001C3508"/>
    <w:rsid w:val="001C4B32"/>
    <w:rsid w:val="001C68FC"/>
    <w:rsid w:val="001D7843"/>
    <w:rsid w:val="001D7B9F"/>
    <w:rsid w:val="001E1985"/>
    <w:rsid w:val="00205664"/>
    <w:rsid w:val="00211DC2"/>
    <w:rsid w:val="00213932"/>
    <w:rsid w:val="00217399"/>
    <w:rsid w:val="002204AA"/>
    <w:rsid w:val="00234A30"/>
    <w:rsid w:val="00234F71"/>
    <w:rsid w:val="0024080F"/>
    <w:rsid w:val="002417BB"/>
    <w:rsid w:val="002449AC"/>
    <w:rsid w:val="0024708D"/>
    <w:rsid w:val="002507FA"/>
    <w:rsid w:val="002561FE"/>
    <w:rsid w:val="0025746A"/>
    <w:rsid w:val="002602A8"/>
    <w:rsid w:val="002606D7"/>
    <w:rsid w:val="00261AE0"/>
    <w:rsid w:val="00267949"/>
    <w:rsid w:val="0027512F"/>
    <w:rsid w:val="00285356"/>
    <w:rsid w:val="0029377C"/>
    <w:rsid w:val="0029766C"/>
    <w:rsid w:val="002A2AE5"/>
    <w:rsid w:val="002B019B"/>
    <w:rsid w:val="002B7984"/>
    <w:rsid w:val="002D5B42"/>
    <w:rsid w:val="002E3E1B"/>
    <w:rsid w:val="002E61B9"/>
    <w:rsid w:val="002F44BF"/>
    <w:rsid w:val="002F6030"/>
    <w:rsid w:val="00311589"/>
    <w:rsid w:val="00315561"/>
    <w:rsid w:val="00320135"/>
    <w:rsid w:val="00330797"/>
    <w:rsid w:val="0033178F"/>
    <w:rsid w:val="003358C8"/>
    <w:rsid w:val="0033780E"/>
    <w:rsid w:val="00344A7E"/>
    <w:rsid w:val="0034680B"/>
    <w:rsid w:val="00351CE2"/>
    <w:rsid w:val="003577B6"/>
    <w:rsid w:val="00364183"/>
    <w:rsid w:val="00367F61"/>
    <w:rsid w:val="00370316"/>
    <w:rsid w:val="00372999"/>
    <w:rsid w:val="003763E2"/>
    <w:rsid w:val="003803C4"/>
    <w:rsid w:val="00386566"/>
    <w:rsid w:val="00387318"/>
    <w:rsid w:val="0039373D"/>
    <w:rsid w:val="00394129"/>
    <w:rsid w:val="003A521F"/>
    <w:rsid w:val="003A7109"/>
    <w:rsid w:val="003A7CA0"/>
    <w:rsid w:val="003B11F2"/>
    <w:rsid w:val="003C183E"/>
    <w:rsid w:val="003D3B93"/>
    <w:rsid w:val="003F633C"/>
    <w:rsid w:val="004117E7"/>
    <w:rsid w:val="00420CD3"/>
    <w:rsid w:val="004345DB"/>
    <w:rsid w:val="00436A47"/>
    <w:rsid w:val="0044054A"/>
    <w:rsid w:val="004424C8"/>
    <w:rsid w:val="00442BB9"/>
    <w:rsid w:val="00442F79"/>
    <w:rsid w:val="004516E7"/>
    <w:rsid w:val="004540ED"/>
    <w:rsid w:val="004665EA"/>
    <w:rsid w:val="00472FE9"/>
    <w:rsid w:val="0047417A"/>
    <w:rsid w:val="00474611"/>
    <w:rsid w:val="00475926"/>
    <w:rsid w:val="004810EF"/>
    <w:rsid w:val="00482DCF"/>
    <w:rsid w:val="0049206B"/>
    <w:rsid w:val="004A6409"/>
    <w:rsid w:val="004B42C9"/>
    <w:rsid w:val="004B4AFB"/>
    <w:rsid w:val="004B70D7"/>
    <w:rsid w:val="00504E32"/>
    <w:rsid w:val="00507BAB"/>
    <w:rsid w:val="0051238D"/>
    <w:rsid w:val="00513878"/>
    <w:rsid w:val="00514302"/>
    <w:rsid w:val="00523381"/>
    <w:rsid w:val="00523E34"/>
    <w:rsid w:val="00532C94"/>
    <w:rsid w:val="005379B0"/>
    <w:rsid w:val="00544967"/>
    <w:rsid w:val="00546013"/>
    <w:rsid w:val="005533D0"/>
    <w:rsid w:val="00553D62"/>
    <w:rsid w:val="00554B49"/>
    <w:rsid w:val="00565868"/>
    <w:rsid w:val="00566CF2"/>
    <w:rsid w:val="00573211"/>
    <w:rsid w:val="00574686"/>
    <w:rsid w:val="005820C4"/>
    <w:rsid w:val="00592D99"/>
    <w:rsid w:val="005B0C0F"/>
    <w:rsid w:val="005B4139"/>
    <w:rsid w:val="005B6CD5"/>
    <w:rsid w:val="005B768E"/>
    <w:rsid w:val="005C0FBF"/>
    <w:rsid w:val="005E1462"/>
    <w:rsid w:val="005E51E0"/>
    <w:rsid w:val="005E5F69"/>
    <w:rsid w:val="005F2141"/>
    <w:rsid w:val="0060135E"/>
    <w:rsid w:val="0062171D"/>
    <w:rsid w:val="00633A72"/>
    <w:rsid w:val="0063760F"/>
    <w:rsid w:val="00641629"/>
    <w:rsid w:val="0064221C"/>
    <w:rsid w:val="00642342"/>
    <w:rsid w:val="00647B91"/>
    <w:rsid w:val="006520C8"/>
    <w:rsid w:val="0066368C"/>
    <w:rsid w:val="00667D2B"/>
    <w:rsid w:val="0068219C"/>
    <w:rsid w:val="00684B80"/>
    <w:rsid w:val="006860D6"/>
    <w:rsid w:val="006868A7"/>
    <w:rsid w:val="006976E4"/>
    <w:rsid w:val="006A2474"/>
    <w:rsid w:val="006A6C71"/>
    <w:rsid w:val="006B673F"/>
    <w:rsid w:val="006C7728"/>
    <w:rsid w:val="006C78E5"/>
    <w:rsid w:val="006C7A1B"/>
    <w:rsid w:val="0070112E"/>
    <w:rsid w:val="007241D6"/>
    <w:rsid w:val="00724EAC"/>
    <w:rsid w:val="00734205"/>
    <w:rsid w:val="00751E5C"/>
    <w:rsid w:val="0075338C"/>
    <w:rsid w:val="007630CE"/>
    <w:rsid w:val="00766E06"/>
    <w:rsid w:val="00771B2C"/>
    <w:rsid w:val="00781EC8"/>
    <w:rsid w:val="0078697C"/>
    <w:rsid w:val="0079206D"/>
    <w:rsid w:val="00795608"/>
    <w:rsid w:val="0079684F"/>
    <w:rsid w:val="007A123A"/>
    <w:rsid w:val="007A4EF3"/>
    <w:rsid w:val="007B5308"/>
    <w:rsid w:val="007C317D"/>
    <w:rsid w:val="007C45F6"/>
    <w:rsid w:val="007D3306"/>
    <w:rsid w:val="007E51D8"/>
    <w:rsid w:val="007F2E26"/>
    <w:rsid w:val="00803658"/>
    <w:rsid w:val="00811C68"/>
    <w:rsid w:val="008150BB"/>
    <w:rsid w:val="0082510F"/>
    <w:rsid w:val="00831F8C"/>
    <w:rsid w:val="0083574B"/>
    <w:rsid w:val="0085014C"/>
    <w:rsid w:val="00852528"/>
    <w:rsid w:val="00860CFE"/>
    <w:rsid w:val="00860DC2"/>
    <w:rsid w:val="00865D40"/>
    <w:rsid w:val="00884998"/>
    <w:rsid w:val="00894303"/>
    <w:rsid w:val="0089452F"/>
    <w:rsid w:val="0089473D"/>
    <w:rsid w:val="008B0ADE"/>
    <w:rsid w:val="008B597A"/>
    <w:rsid w:val="008C1DC9"/>
    <w:rsid w:val="008C325A"/>
    <w:rsid w:val="008C707E"/>
    <w:rsid w:val="008D4804"/>
    <w:rsid w:val="008E16E4"/>
    <w:rsid w:val="008E778C"/>
    <w:rsid w:val="008E7836"/>
    <w:rsid w:val="008F264B"/>
    <w:rsid w:val="008F2A4C"/>
    <w:rsid w:val="008F52C4"/>
    <w:rsid w:val="008F6C66"/>
    <w:rsid w:val="008F7FDA"/>
    <w:rsid w:val="009017B2"/>
    <w:rsid w:val="00903552"/>
    <w:rsid w:val="009039CA"/>
    <w:rsid w:val="00914541"/>
    <w:rsid w:val="00915FA0"/>
    <w:rsid w:val="009167EC"/>
    <w:rsid w:val="00921771"/>
    <w:rsid w:val="00923055"/>
    <w:rsid w:val="00923EF7"/>
    <w:rsid w:val="00935C25"/>
    <w:rsid w:val="00937C47"/>
    <w:rsid w:val="009411CD"/>
    <w:rsid w:val="009458CF"/>
    <w:rsid w:val="00950ADC"/>
    <w:rsid w:val="00956B2E"/>
    <w:rsid w:val="009654A4"/>
    <w:rsid w:val="00973305"/>
    <w:rsid w:val="00984635"/>
    <w:rsid w:val="0098493E"/>
    <w:rsid w:val="00985C29"/>
    <w:rsid w:val="009A0006"/>
    <w:rsid w:val="009A1077"/>
    <w:rsid w:val="009A2FB3"/>
    <w:rsid w:val="009A5C95"/>
    <w:rsid w:val="009B0629"/>
    <w:rsid w:val="009B37D0"/>
    <w:rsid w:val="009B64CC"/>
    <w:rsid w:val="009B7112"/>
    <w:rsid w:val="009C4E0A"/>
    <w:rsid w:val="009F7E5E"/>
    <w:rsid w:val="00A0087B"/>
    <w:rsid w:val="00A10819"/>
    <w:rsid w:val="00A127EB"/>
    <w:rsid w:val="00A24712"/>
    <w:rsid w:val="00A26B89"/>
    <w:rsid w:val="00A26E46"/>
    <w:rsid w:val="00A27D09"/>
    <w:rsid w:val="00A34AA6"/>
    <w:rsid w:val="00A3571A"/>
    <w:rsid w:val="00A369A5"/>
    <w:rsid w:val="00A42E06"/>
    <w:rsid w:val="00A50041"/>
    <w:rsid w:val="00A5518D"/>
    <w:rsid w:val="00A67673"/>
    <w:rsid w:val="00A72BD7"/>
    <w:rsid w:val="00A736DA"/>
    <w:rsid w:val="00A73AC3"/>
    <w:rsid w:val="00A8346B"/>
    <w:rsid w:val="00A85506"/>
    <w:rsid w:val="00A919DE"/>
    <w:rsid w:val="00A933F5"/>
    <w:rsid w:val="00AA332C"/>
    <w:rsid w:val="00AB02E4"/>
    <w:rsid w:val="00AC1F16"/>
    <w:rsid w:val="00AD0546"/>
    <w:rsid w:val="00AD5310"/>
    <w:rsid w:val="00AE4174"/>
    <w:rsid w:val="00AE4C76"/>
    <w:rsid w:val="00AF2C21"/>
    <w:rsid w:val="00B04419"/>
    <w:rsid w:val="00B13582"/>
    <w:rsid w:val="00B1664F"/>
    <w:rsid w:val="00B21E53"/>
    <w:rsid w:val="00B27512"/>
    <w:rsid w:val="00B32263"/>
    <w:rsid w:val="00B36FAB"/>
    <w:rsid w:val="00B43686"/>
    <w:rsid w:val="00B442E6"/>
    <w:rsid w:val="00B46878"/>
    <w:rsid w:val="00B46920"/>
    <w:rsid w:val="00B50E37"/>
    <w:rsid w:val="00B63EF1"/>
    <w:rsid w:val="00B64970"/>
    <w:rsid w:val="00B75E40"/>
    <w:rsid w:val="00B765FC"/>
    <w:rsid w:val="00B84ED1"/>
    <w:rsid w:val="00B854CE"/>
    <w:rsid w:val="00B93200"/>
    <w:rsid w:val="00B96651"/>
    <w:rsid w:val="00BA0ED9"/>
    <w:rsid w:val="00BA5646"/>
    <w:rsid w:val="00BB4779"/>
    <w:rsid w:val="00BB4E0C"/>
    <w:rsid w:val="00BC1631"/>
    <w:rsid w:val="00BD29C8"/>
    <w:rsid w:val="00BD3A6A"/>
    <w:rsid w:val="00BD6373"/>
    <w:rsid w:val="00BE0061"/>
    <w:rsid w:val="00BE180E"/>
    <w:rsid w:val="00BE4C22"/>
    <w:rsid w:val="00BF24BD"/>
    <w:rsid w:val="00BF5DCB"/>
    <w:rsid w:val="00C032CE"/>
    <w:rsid w:val="00C04403"/>
    <w:rsid w:val="00C067A0"/>
    <w:rsid w:val="00C14AEB"/>
    <w:rsid w:val="00C22440"/>
    <w:rsid w:val="00C24D4C"/>
    <w:rsid w:val="00C25885"/>
    <w:rsid w:val="00C26473"/>
    <w:rsid w:val="00C479F1"/>
    <w:rsid w:val="00C5017C"/>
    <w:rsid w:val="00C50915"/>
    <w:rsid w:val="00C53CCA"/>
    <w:rsid w:val="00C54EF9"/>
    <w:rsid w:val="00C54FE4"/>
    <w:rsid w:val="00C647B5"/>
    <w:rsid w:val="00C64BB9"/>
    <w:rsid w:val="00C83DD4"/>
    <w:rsid w:val="00C8456C"/>
    <w:rsid w:val="00CA2E2C"/>
    <w:rsid w:val="00CB092C"/>
    <w:rsid w:val="00CB0AB7"/>
    <w:rsid w:val="00CB20B5"/>
    <w:rsid w:val="00CC4547"/>
    <w:rsid w:val="00CC483A"/>
    <w:rsid w:val="00CD5D27"/>
    <w:rsid w:val="00CE05DD"/>
    <w:rsid w:val="00CE26EA"/>
    <w:rsid w:val="00CE2FB1"/>
    <w:rsid w:val="00CE77B4"/>
    <w:rsid w:val="00CF6900"/>
    <w:rsid w:val="00D0486B"/>
    <w:rsid w:val="00D204BC"/>
    <w:rsid w:val="00D20BDA"/>
    <w:rsid w:val="00D31F73"/>
    <w:rsid w:val="00D432D9"/>
    <w:rsid w:val="00D50A73"/>
    <w:rsid w:val="00D54EEE"/>
    <w:rsid w:val="00D65A75"/>
    <w:rsid w:val="00D818DA"/>
    <w:rsid w:val="00D8662D"/>
    <w:rsid w:val="00D86669"/>
    <w:rsid w:val="00D96BC4"/>
    <w:rsid w:val="00DA2D7A"/>
    <w:rsid w:val="00DA7600"/>
    <w:rsid w:val="00DB47DD"/>
    <w:rsid w:val="00DB6E28"/>
    <w:rsid w:val="00DC0E88"/>
    <w:rsid w:val="00DC6AE4"/>
    <w:rsid w:val="00DD1A96"/>
    <w:rsid w:val="00DD5344"/>
    <w:rsid w:val="00DF255C"/>
    <w:rsid w:val="00DF3A36"/>
    <w:rsid w:val="00DF47EC"/>
    <w:rsid w:val="00DF6154"/>
    <w:rsid w:val="00E0056D"/>
    <w:rsid w:val="00E016FA"/>
    <w:rsid w:val="00E31842"/>
    <w:rsid w:val="00E31F24"/>
    <w:rsid w:val="00E33B5F"/>
    <w:rsid w:val="00E3607C"/>
    <w:rsid w:val="00E36A1D"/>
    <w:rsid w:val="00E36DCB"/>
    <w:rsid w:val="00E54F20"/>
    <w:rsid w:val="00E62ADB"/>
    <w:rsid w:val="00E62D2E"/>
    <w:rsid w:val="00E66429"/>
    <w:rsid w:val="00E66BFC"/>
    <w:rsid w:val="00E709B0"/>
    <w:rsid w:val="00E731A4"/>
    <w:rsid w:val="00E76774"/>
    <w:rsid w:val="00E8271A"/>
    <w:rsid w:val="00E87D5C"/>
    <w:rsid w:val="00E97C91"/>
    <w:rsid w:val="00EA59EE"/>
    <w:rsid w:val="00EA5A60"/>
    <w:rsid w:val="00EC08E0"/>
    <w:rsid w:val="00EC73EA"/>
    <w:rsid w:val="00ED785B"/>
    <w:rsid w:val="00EE0324"/>
    <w:rsid w:val="00EE0B0D"/>
    <w:rsid w:val="00EE1443"/>
    <w:rsid w:val="00EE3013"/>
    <w:rsid w:val="00EF429A"/>
    <w:rsid w:val="00EF4895"/>
    <w:rsid w:val="00F027B5"/>
    <w:rsid w:val="00F1074F"/>
    <w:rsid w:val="00F22205"/>
    <w:rsid w:val="00F3188E"/>
    <w:rsid w:val="00F36A14"/>
    <w:rsid w:val="00F40B1C"/>
    <w:rsid w:val="00F44800"/>
    <w:rsid w:val="00F50031"/>
    <w:rsid w:val="00F50692"/>
    <w:rsid w:val="00F600D0"/>
    <w:rsid w:val="00F63515"/>
    <w:rsid w:val="00F65B7F"/>
    <w:rsid w:val="00F66E1D"/>
    <w:rsid w:val="00F71607"/>
    <w:rsid w:val="00F77179"/>
    <w:rsid w:val="00F8127A"/>
    <w:rsid w:val="00F947BE"/>
    <w:rsid w:val="00F94F55"/>
    <w:rsid w:val="00FA47E6"/>
    <w:rsid w:val="00FA4BA9"/>
    <w:rsid w:val="00FA4D85"/>
    <w:rsid w:val="00FA659A"/>
    <w:rsid w:val="00FA6C14"/>
    <w:rsid w:val="00FB1480"/>
    <w:rsid w:val="00FB3DB9"/>
    <w:rsid w:val="00FC5AE9"/>
    <w:rsid w:val="00FD022F"/>
    <w:rsid w:val="00FD21A4"/>
    <w:rsid w:val="00FD3CC1"/>
    <w:rsid w:val="00FD4EB2"/>
    <w:rsid w:val="00FD714C"/>
    <w:rsid w:val="00FE0A1D"/>
    <w:rsid w:val="00FE14BA"/>
    <w:rsid w:val="00FE2E76"/>
    <w:rsid w:val="00FE572A"/>
    <w:rsid w:val="00FF01D2"/>
    <w:rsid w:val="00FF1743"/>
    <w:rsid w:val="00FF1D1B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F9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7109"/>
    <w:pPr>
      <w:widowControl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109"/>
    <w:pPr>
      <w:tabs>
        <w:tab w:val="center" w:pos="4153"/>
        <w:tab w:val="right" w:pos="8306"/>
      </w:tabs>
    </w:pPr>
  </w:style>
  <w:style w:type="character" w:styleId="Hyperlink">
    <w:name w:val="Hyperlink"/>
    <w:rsid w:val="003A7109"/>
    <w:rPr>
      <w:color w:val="0000FF"/>
      <w:u w:val="single"/>
    </w:rPr>
  </w:style>
  <w:style w:type="paragraph" w:styleId="BodyText">
    <w:name w:val="Body Text"/>
    <w:basedOn w:val="Normal"/>
    <w:rsid w:val="003A7109"/>
    <w:pPr>
      <w:widowControl/>
      <w:jc w:val="both"/>
    </w:pPr>
    <w:rPr>
      <w:szCs w:val="24"/>
    </w:rPr>
  </w:style>
  <w:style w:type="paragraph" w:styleId="BalloonText">
    <w:name w:val="Balloon Text"/>
    <w:basedOn w:val="Normal"/>
    <w:semiHidden/>
    <w:rsid w:val="009017B2"/>
    <w:rPr>
      <w:rFonts w:ascii="Tahoma" w:hAnsi="Tahoma" w:cs="Tahoma"/>
      <w:sz w:val="16"/>
      <w:szCs w:val="16"/>
    </w:rPr>
  </w:style>
  <w:style w:type="character" w:customStyle="1" w:styleId="msoins">
    <w:name w:val="msoins"/>
    <w:rsid w:val="00F40B1C"/>
    <w:rPr>
      <w:color w:val="008080"/>
      <w:u w:val="single"/>
    </w:rPr>
  </w:style>
  <w:style w:type="character" w:styleId="FollowedHyperlink">
    <w:name w:val="FollowedHyperlink"/>
    <w:rsid w:val="00CE05DD"/>
    <w:rPr>
      <w:color w:val="800080"/>
      <w:u w:val="single"/>
    </w:rPr>
  </w:style>
  <w:style w:type="character" w:styleId="Emphasis">
    <w:name w:val="Emphasis"/>
    <w:qFormat/>
    <w:rsid w:val="005379B0"/>
    <w:rPr>
      <w:b/>
      <w:bCs/>
      <w:i w:val="0"/>
      <w:iCs w:val="0"/>
    </w:rPr>
  </w:style>
  <w:style w:type="paragraph" w:customStyle="1" w:styleId="CharCharChar">
    <w:name w:val="Char Char Char"/>
    <w:basedOn w:val="Normal"/>
    <w:rsid w:val="002204AA"/>
    <w:pPr>
      <w:widowControl/>
      <w:spacing w:after="160" w:line="240" w:lineRule="exact"/>
    </w:pPr>
    <w:rPr>
      <w:rFonts w:ascii="Verdana" w:eastAsia="SimSun" w:hAnsi="Verdana" w:cs="Verdana"/>
      <w:sz w:val="20"/>
      <w:szCs w:val="24"/>
      <w:lang w:val="en-US" w:eastAsia="zh-CN"/>
    </w:rPr>
  </w:style>
  <w:style w:type="paragraph" w:styleId="NormalWeb">
    <w:name w:val="Normal (Web)"/>
    <w:basedOn w:val="Normal"/>
    <w:rsid w:val="00E33B5F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33B5F"/>
  </w:style>
  <w:style w:type="character" w:styleId="Strong">
    <w:name w:val="Strong"/>
    <w:qFormat/>
    <w:rsid w:val="00CB0AB7"/>
    <w:rPr>
      <w:b/>
      <w:bCs/>
    </w:rPr>
  </w:style>
  <w:style w:type="character" w:customStyle="1" w:styleId="lockc">
    <w:name w:val="lockc"/>
    <w:semiHidden/>
    <w:rsid w:val="000203A6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FA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654A4"/>
    <w:rPr>
      <w:szCs w:val="24"/>
    </w:rPr>
  </w:style>
  <w:style w:type="character" w:customStyle="1" w:styleId="FootnoteTextChar">
    <w:name w:val="Footnote Text Char"/>
    <w:link w:val="FootnoteText"/>
    <w:rsid w:val="009654A4"/>
    <w:rPr>
      <w:sz w:val="24"/>
      <w:szCs w:val="24"/>
      <w:lang w:val="en-GB"/>
    </w:rPr>
  </w:style>
  <w:style w:type="character" w:styleId="FootnoteReference">
    <w:name w:val="footnote reference"/>
    <w:rsid w:val="009654A4"/>
    <w:rPr>
      <w:vertAlign w:val="superscript"/>
    </w:rPr>
  </w:style>
  <w:style w:type="character" w:styleId="CommentReference">
    <w:name w:val="annotation reference"/>
    <w:rsid w:val="004A64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6409"/>
    <w:rPr>
      <w:szCs w:val="24"/>
    </w:rPr>
  </w:style>
  <w:style w:type="character" w:customStyle="1" w:styleId="CommentTextChar">
    <w:name w:val="Comment Text Char"/>
    <w:link w:val="CommentText"/>
    <w:rsid w:val="004A64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A640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A6409"/>
    <w:rPr>
      <w:b/>
      <w:bCs/>
      <w:sz w:val="24"/>
      <w:szCs w:val="24"/>
    </w:rPr>
  </w:style>
  <w:style w:type="character" w:customStyle="1" w:styleId="apple-converted-space">
    <w:name w:val="apple-converted-space"/>
    <w:rsid w:val="00CC4547"/>
  </w:style>
  <w:style w:type="paragraph" w:styleId="ListParagraph">
    <w:name w:val="List Paragraph"/>
    <w:basedOn w:val="Normal"/>
    <w:uiPriority w:val="34"/>
    <w:qFormat/>
    <w:rsid w:val="008150BB"/>
    <w:pPr>
      <w:widowControl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7109"/>
    <w:pPr>
      <w:widowControl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109"/>
    <w:pPr>
      <w:tabs>
        <w:tab w:val="center" w:pos="4153"/>
        <w:tab w:val="right" w:pos="8306"/>
      </w:tabs>
    </w:pPr>
  </w:style>
  <w:style w:type="character" w:styleId="Hyperlink">
    <w:name w:val="Hyperlink"/>
    <w:rsid w:val="003A7109"/>
    <w:rPr>
      <w:color w:val="0000FF"/>
      <w:u w:val="single"/>
    </w:rPr>
  </w:style>
  <w:style w:type="paragraph" w:styleId="BodyText">
    <w:name w:val="Body Text"/>
    <w:basedOn w:val="Normal"/>
    <w:rsid w:val="003A7109"/>
    <w:pPr>
      <w:widowControl/>
      <w:jc w:val="both"/>
    </w:pPr>
    <w:rPr>
      <w:szCs w:val="24"/>
    </w:rPr>
  </w:style>
  <w:style w:type="paragraph" w:styleId="BalloonText">
    <w:name w:val="Balloon Text"/>
    <w:basedOn w:val="Normal"/>
    <w:semiHidden/>
    <w:rsid w:val="009017B2"/>
    <w:rPr>
      <w:rFonts w:ascii="Tahoma" w:hAnsi="Tahoma" w:cs="Tahoma"/>
      <w:sz w:val="16"/>
      <w:szCs w:val="16"/>
    </w:rPr>
  </w:style>
  <w:style w:type="character" w:customStyle="1" w:styleId="msoins">
    <w:name w:val="msoins"/>
    <w:rsid w:val="00F40B1C"/>
    <w:rPr>
      <w:color w:val="008080"/>
      <w:u w:val="single"/>
    </w:rPr>
  </w:style>
  <w:style w:type="character" w:styleId="FollowedHyperlink">
    <w:name w:val="FollowedHyperlink"/>
    <w:rsid w:val="00CE05DD"/>
    <w:rPr>
      <w:color w:val="800080"/>
      <w:u w:val="single"/>
    </w:rPr>
  </w:style>
  <w:style w:type="character" w:styleId="Emphasis">
    <w:name w:val="Emphasis"/>
    <w:qFormat/>
    <w:rsid w:val="005379B0"/>
    <w:rPr>
      <w:b/>
      <w:bCs/>
      <w:i w:val="0"/>
      <w:iCs w:val="0"/>
    </w:rPr>
  </w:style>
  <w:style w:type="paragraph" w:customStyle="1" w:styleId="CharCharChar">
    <w:name w:val="Char Char Char"/>
    <w:basedOn w:val="Normal"/>
    <w:rsid w:val="002204AA"/>
    <w:pPr>
      <w:widowControl/>
      <w:spacing w:after="160" w:line="240" w:lineRule="exact"/>
    </w:pPr>
    <w:rPr>
      <w:rFonts w:ascii="Verdana" w:eastAsia="SimSun" w:hAnsi="Verdana" w:cs="Verdana"/>
      <w:sz w:val="20"/>
      <w:szCs w:val="24"/>
      <w:lang w:val="en-US" w:eastAsia="zh-CN"/>
    </w:rPr>
  </w:style>
  <w:style w:type="paragraph" w:styleId="NormalWeb">
    <w:name w:val="Normal (Web)"/>
    <w:basedOn w:val="Normal"/>
    <w:rsid w:val="00E33B5F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33B5F"/>
  </w:style>
  <w:style w:type="character" w:styleId="Strong">
    <w:name w:val="Strong"/>
    <w:qFormat/>
    <w:rsid w:val="00CB0AB7"/>
    <w:rPr>
      <w:b/>
      <w:bCs/>
    </w:rPr>
  </w:style>
  <w:style w:type="character" w:customStyle="1" w:styleId="lockc">
    <w:name w:val="lockc"/>
    <w:semiHidden/>
    <w:rsid w:val="000203A6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FA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654A4"/>
    <w:rPr>
      <w:szCs w:val="24"/>
    </w:rPr>
  </w:style>
  <w:style w:type="character" w:customStyle="1" w:styleId="FootnoteTextChar">
    <w:name w:val="Footnote Text Char"/>
    <w:link w:val="FootnoteText"/>
    <w:rsid w:val="009654A4"/>
    <w:rPr>
      <w:sz w:val="24"/>
      <w:szCs w:val="24"/>
      <w:lang w:val="en-GB"/>
    </w:rPr>
  </w:style>
  <w:style w:type="character" w:styleId="FootnoteReference">
    <w:name w:val="footnote reference"/>
    <w:rsid w:val="009654A4"/>
    <w:rPr>
      <w:vertAlign w:val="superscript"/>
    </w:rPr>
  </w:style>
  <w:style w:type="character" w:styleId="CommentReference">
    <w:name w:val="annotation reference"/>
    <w:rsid w:val="004A64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6409"/>
    <w:rPr>
      <w:szCs w:val="24"/>
    </w:rPr>
  </w:style>
  <w:style w:type="character" w:customStyle="1" w:styleId="CommentTextChar">
    <w:name w:val="Comment Text Char"/>
    <w:link w:val="CommentText"/>
    <w:rsid w:val="004A64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A640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A6409"/>
    <w:rPr>
      <w:b/>
      <w:bCs/>
      <w:sz w:val="24"/>
      <w:szCs w:val="24"/>
    </w:rPr>
  </w:style>
  <w:style w:type="character" w:customStyle="1" w:styleId="apple-converted-space">
    <w:name w:val="apple-converted-space"/>
    <w:rsid w:val="00CC4547"/>
  </w:style>
  <w:style w:type="paragraph" w:styleId="ListParagraph">
    <w:name w:val="List Paragraph"/>
    <w:basedOn w:val="Normal"/>
    <w:uiPriority w:val="34"/>
    <w:qFormat/>
    <w:rsid w:val="008150BB"/>
    <w:pPr>
      <w:widowControl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2C8CA-F56C-F74C-8CB2-7C12D555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QMUL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bullfe</dc:creator>
  <cp:lastModifiedBy>Charli Scouller</cp:lastModifiedBy>
  <cp:revision>2</cp:revision>
  <cp:lastPrinted>2012-01-24T09:13:00Z</cp:lastPrinted>
  <dcterms:created xsi:type="dcterms:W3CDTF">2014-06-06T11:21:00Z</dcterms:created>
  <dcterms:modified xsi:type="dcterms:W3CDTF">2014-06-06T11:21:00Z</dcterms:modified>
</cp:coreProperties>
</file>